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354F" w14:textId="77777777" w:rsidR="00C0469C" w:rsidRPr="001D4785" w:rsidRDefault="00C0469C" w:rsidP="00C0469C">
      <w:pPr>
        <w:pStyle w:val="ListeParagraf"/>
        <w:numPr>
          <w:ilvl w:val="0"/>
          <w:numId w:val="1"/>
        </w:numPr>
        <w:spacing w:line="256" w:lineRule="auto"/>
        <w:jc w:val="both"/>
        <w:rPr>
          <w:b/>
          <w:bCs/>
        </w:rPr>
      </w:pPr>
      <w:r w:rsidRPr="001D4785">
        <w:rPr>
          <w:b/>
          <w:bCs/>
        </w:rPr>
        <w:t>GİRİŞ</w:t>
      </w:r>
    </w:p>
    <w:p w14:paraId="2E8FDD02" w14:textId="77777777" w:rsidR="00C0469C" w:rsidRPr="001D4785" w:rsidRDefault="00C0469C" w:rsidP="00C0469C">
      <w:pPr>
        <w:pStyle w:val="ListeParagraf"/>
        <w:ind w:left="360"/>
        <w:jc w:val="both"/>
        <w:rPr>
          <w:b/>
          <w:bCs/>
        </w:rPr>
      </w:pPr>
    </w:p>
    <w:p w14:paraId="601E703D" w14:textId="77777777" w:rsidR="00C0469C" w:rsidRPr="001D4785" w:rsidRDefault="00C0469C" w:rsidP="00C0469C">
      <w:pPr>
        <w:pStyle w:val="ListeParagraf"/>
        <w:numPr>
          <w:ilvl w:val="1"/>
          <w:numId w:val="1"/>
        </w:numPr>
        <w:spacing w:line="256" w:lineRule="auto"/>
        <w:jc w:val="both"/>
        <w:rPr>
          <w:b/>
          <w:bCs/>
        </w:rPr>
      </w:pPr>
      <w:r w:rsidRPr="001D4785">
        <w:rPr>
          <w:b/>
          <w:bCs/>
        </w:rPr>
        <w:t>Amaç</w:t>
      </w:r>
    </w:p>
    <w:p w14:paraId="0AC4BE30" w14:textId="1D7738B0" w:rsidR="00C0469C" w:rsidRPr="001D4785" w:rsidRDefault="00C0469C" w:rsidP="00C0469C">
      <w:pPr>
        <w:jc w:val="both"/>
      </w:pPr>
      <w:r w:rsidRPr="001D4785">
        <w:t>İşbu Özel Nitelikli Kişisel Veri Güvenliği Politikası (</w:t>
      </w:r>
      <w:r w:rsidRPr="001D4785">
        <w:rPr>
          <w:b/>
          <w:bCs/>
          <w:i/>
          <w:iCs/>
        </w:rPr>
        <w:t>“Politika”</w:t>
      </w:r>
      <w:r w:rsidR="008B453C">
        <w:t xml:space="preserve">), </w:t>
      </w:r>
      <w:r w:rsidR="003D01DD">
        <w:rPr>
          <w:b/>
          <w:bCs/>
        </w:rPr>
        <w:t xml:space="preserve">NORBO SAVUNMA SANAYİ VE DIŞ TİCARET LİMİTED </w:t>
      </w:r>
      <w:r w:rsidR="003D01DD" w:rsidRPr="00321446">
        <w:rPr>
          <w:b/>
          <w:bCs/>
        </w:rPr>
        <w:t>ŞİRKETİ</w:t>
      </w:r>
      <w:r w:rsidR="008B453C">
        <w:rPr>
          <w:b/>
        </w:rPr>
        <w:t xml:space="preserve"> </w:t>
      </w:r>
      <w:r w:rsidRPr="001D4785">
        <w:t>(</w:t>
      </w:r>
      <w:r w:rsidRPr="001D4785">
        <w:rPr>
          <w:b/>
          <w:bCs/>
        </w:rPr>
        <w:t>“Şirket”</w:t>
      </w:r>
      <w:r w:rsidRPr="001D4785">
        <w:t xml:space="preserve">)’in veri kayıt ortamlarında yer alan özel nitelikli kişisel verilerin kullanımına ve korunmasına ilişkin iş ve işlemler konusunda usul ve esasları belirlemek amacıyla hazırlanmıştır. </w:t>
      </w:r>
    </w:p>
    <w:p w14:paraId="38C0EBBD" w14:textId="77777777" w:rsidR="00C0469C" w:rsidRPr="001D4785" w:rsidRDefault="00C0469C" w:rsidP="00C0469C">
      <w:pPr>
        <w:jc w:val="both"/>
      </w:pPr>
      <w:r w:rsidRPr="001D4785">
        <w:t xml:space="preserve">Şirketimiz; çalışanlarına, çalışan adaylarına, </w:t>
      </w:r>
      <w:r>
        <w:t>yöneticilerine</w:t>
      </w:r>
      <w:r w:rsidRPr="001D4785">
        <w:t>,</w:t>
      </w:r>
      <w:r>
        <w:t xml:space="preserve"> ortaklarına,</w:t>
      </w:r>
      <w:r w:rsidRPr="001D4785">
        <w:t xml:space="preserve"> tedarikçilerine ve </w:t>
      </w:r>
      <w:r>
        <w:t>müşterilerine</w:t>
      </w:r>
      <w:r w:rsidRPr="001D4785">
        <w:t xml:space="preserve"> ait özel nitelikli kişisel verilerin, T.C. Anayasası, uluslararası sözleşmeler, 6698 sayılı Kişisel Verilerin Korunması Kanunu (</w:t>
      </w:r>
      <w:r w:rsidRPr="001D4785">
        <w:rPr>
          <w:b/>
          <w:bCs/>
        </w:rPr>
        <w:t>“Kanun”</w:t>
      </w:r>
      <w:r w:rsidRPr="001D4785">
        <w:t xml:space="preserve">) ve diğer ilgili mevzuata uygun olarak işlenmesini ve ilgili kişilerin haklarını etkin bir şekilde kullanmasının sağlanmasını öncelik olarak belirlemiştir. </w:t>
      </w:r>
    </w:p>
    <w:p w14:paraId="5C208341" w14:textId="77777777" w:rsidR="00C0469C" w:rsidRPr="001D4785" w:rsidRDefault="00C0469C" w:rsidP="00C0469C">
      <w:pPr>
        <w:jc w:val="both"/>
      </w:pPr>
      <w:r w:rsidRPr="001D4785">
        <w:t xml:space="preserve">“Özel Nitelikli Kişisel Verilerin İşlenmesinde Veri Sorumlularınca Alınması Gereken Yeterli Önlemler” ile ilgili Kişisel Verileri Koruma Kurulu’nun 31/01/2018 tarihli ve 2018/10 sayılı Kararı doğrultusunda özel nitelikli kişisel verilerin kullanımına ve korunmasına ilişkin iş ve işlemler, Şirketimiz tarafından bu doğrultuda hazırlanmış olan işbu Politikaya uygun olarak gerçekleştirilmektedir. </w:t>
      </w:r>
    </w:p>
    <w:p w14:paraId="66584D65" w14:textId="77777777" w:rsidR="00C0469C" w:rsidRPr="001D4785" w:rsidRDefault="00C0469C" w:rsidP="00C0469C">
      <w:pPr>
        <w:pStyle w:val="ListeParagraf"/>
        <w:numPr>
          <w:ilvl w:val="1"/>
          <w:numId w:val="1"/>
        </w:numPr>
        <w:spacing w:line="256" w:lineRule="auto"/>
        <w:jc w:val="both"/>
        <w:rPr>
          <w:b/>
          <w:bCs/>
        </w:rPr>
      </w:pPr>
      <w:r w:rsidRPr="001D4785">
        <w:rPr>
          <w:b/>
          <w:bCs/>
        </w:rPr>
        <w:t>Kapsam</w:t>
      </w:r>
    </w:p>
    <w:p w14:paraId="649E1466" w14:textId="77777777" w:rsidR="00C0469C" w:rsidRPr="001D4785" w:rsidRDefault="00C0469C" w:rsidP="00C0469C">
      <w:pPr>
        <w:jc w:val="both"/>
      </w:pPr>
      <w:r w:rsidRPr="001D4785">
        <w:t xml:space="preserve">Şirketimiz, 6698 sayılı Kanun ve ilgili alt mevzuata uygun olarak, aydınlatma yükümlülüğünü yerine getirerek ve gerekmesi halinde açık rıza teminiyle özel nitelikli kişisel </w:t>
      </w:r>
      <w:r>
        <w:t>veri</w:t>
      </w:r>
      <w:r w:rsidRPr="001D4785">
        <w:t xml:space="preserve"> işlemektedir. Şirketimiz bünyesinde özel nitelikli kişisel verilerin işlendiği tüm veri kayıt ortamları ve özel nitelikli kişisel veri işlenmesine yönelik faaliyetlerde bu Politika uygulanmaktadır. </w:t>
      </w:r>
    </w:p>
    <w:p w14:paraId="1F817ECC" w14:textId="7A79D223" w:rsidR="00C0469C" w:rsidRDefault="00C0469C" w:rsidP="00C0469C">
      <w:pPr>
        <w:pStyle w:val="ListeParagraf"/>
        <w:numPr>
          <w:ilvl w:val="1"/>
          <w:numId w:val="1"/>
        </w:numPr>
        <w:spacing w:line="256" w:lineRule="auto"/>
        <w:jc w:val="both"/>
        <w:rPr>
          <w:b/>
          <w:bCs/>
        </w:rPr>
      </w:pPr>
      <w:r w:rsidRPr="001D4785">
        <w:rPr>
          <w:b/>
          <w:bCs/>
        </w:rPr>
        <w:t>Tanımlar</w:t>
      </w:r>
    </w:p>
    <w:p w14:paraId="2E7F943C" w14:textId="77777777" w:rsidR="007156B4" w:rsidRPr="001D4785" w:rsidRDefault="007156B4" w:rsidP="007156B4">
      <w:pPr>
        <w:pStyle w:val="ListeParagraf"/>
        <w:spacing w:line="256" w:lineRule="auto"/>
        <w:ind w:left="360"/>
        <w:jc w:val="both"/>
        <w:rPr>
          <w:b/>
          <w:bCs/>
        </w:rPr>
      </w:pPr>
    </w:p>
    <w:tbl>
      <w:tblPr>
        <w:tblStyle w:val="TabloKlavuzu"/>
        <w:tblW w:w="9209" w:type="dxa"/>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122"/>
        <w:gridCol w:w="7087"/>
      </w:tblGrid>
      <w:tr w:rsidR="00C0469C" w:rsidRPr="001D4785" w14:paraId="32EE16C2" w14:textId="77777777" w:rsidTr="00257454">
        <w:tc>
          <w:tcPr>
            <w:tcW w:w="212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45EA279C" w14:textId="77777777" w:rsidR="00C0469C" w:rsidRPr="001D4785" w:rsidRDefault="00C0469C" w:rsidP="00257454">
            <w:pPr>
              <w:spacing w:before="120" w:after="120" w:line="288" w:lineRule="auto"/>
              <w:jc w:val="both"/>
              <w:rPr>
                <w:rFonts w:cstheme="minorHAnsi"/>
                <w:b/>
                <w:lang w:val="tr-TR"/>
              </w:rPr>
            </w:pPr>
            <w:r w:rsidRPr="001D4785">
              <w:rPr>
                <w:rFonts w:cstheme="minorHAnsi"/>
                <w:b/>
                <w:lang w:val="tr-TR"/>
              </w:rPr>
              <w:t xml:space="preserve">Özel Nitelikli Kişisel Veri </w:t>
            </w:r>
          </w:p>
        </w:tc>
        <w:tc>
          <w:tcPr>
            <w:tcW w:w="708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42FE5ACC" w14:textId="77777777" w:rsidR="00C0469C" w:rsidRPr="001D4785" w:rsidRDefault="00C0469C" w:rsidP="00257454">
            <w:pPr>
              <w:spacing w:before="120" w:after="120" w:line="288" w:lineRule="auto"/>
              <w:jc w:val="both"/>
              <w:rPr>
                <w:rFonts w:cstheme="minorHAnsi"/>
                <w:lang w:val="tr-TR"/>
              </w:rPr>
            </w:pPr>
            <w:r w:rsidRPr="001D4785">
              <w:rPr>
                <w:rFonts w:cstheme="minorHAnsi"/>
                <w:lang w:val="tr-TR"/>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C0469C" w:rsidRPr="001D4785" w14:paraId="32E495F5" w14:textId="77777777" w:rsidTr="00257454">
        <w:tc>
          <w:tcPr>
            <w:tcW w:w="212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72EBD15D" w14:textId="77777777" w:rsidR="00C0469C" w:rsidRPr="001D4785" w:rsidRDefault="00C0469C" w:rsidP="00257454">
            <w:pPr>
              <w:spacing w:before="120" w:after="120" w:line="288" w:lineRule="auto"/>
              <w:jc w:val="both"/>
              <w:rPr>
                <w:rFonts w:cstheme="minorHAnsi"/>
                <w:b/>
                <w:lang w:val="tr-TR"/>
              </w:rPr>
            </w:pPr>
            <w:r w:rsidRPr="001D4785">
              <w:rPr>
                <w:rFonts w:cstheme="minorHAnsi"/>
                <w:b/>
                <w:lang w:val="tr-TR"/>
              </w:rPr>
              <w:t xml:space="preserve">Veri Kayıt Ortamı </w:t>
            </w:r>
          </w:p>
        </w:tc>
        <w:tc>
          <w:tcPr>
            <w:tcW w:w="708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BCBC229" w14:textId="77777777" w:rsidR="00C0469C" w:rsidRPr="001D4785" w:rsidRDefault="00C0469C" w:rsidP="00257454">
            <w:pPr>
              <w:spacing w:before="120" w:after="120" w:line="288" w:lineRule="auto"/>
              <w:jc w:val="both"/>
              <w:rPr>
                <w:rFonts w:cstheme="minorHAnsi"/>
                <w:lang w:val="tr-TR"/>
              </w:rPr>
            </w:pPr>
            <w:r w:rsidRPr="001D4785">
              <w:rPr>
                <w:rFonts w:cstheme="minorHAnsi"/>
                <w:lang w:val="tr-TR"/>
              </w:rPr>
              <w:t>Kişisel verilerin belirli kriterlere göre yapılandırılarak işlendiği kayıt sistemi</w:t>
            </w:r>
          </w:p>
        </w:tc>
      </w:tr>
      <w:tr w:rsidR="00C0469C" w:rsidRPr="001D4785" w14:paraId="2C2CA65A" w14:textId="77777777" w:rsidTr="00257454">
        <w:tc>
          <w:tcPr>
            <w:tcW w:w="212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659A389" w14:textId="77777777" w:rsidR="00C0469C" w:rsidRPr="001D4785" w:rsidRDefault="00C0469C" w:rsidP="00257454">
            <w:pPr>
              <w:spacing w:before="120" w:after="120" w:line="288" w:lineRule="auto"/>
              <w:rPr>
                <w:rFonts w:cstheme="minorHAnsi"/>
                <w:b/>
                <w:highlight w:val="yellow"/>
                <w:lang w:val="tr-TR"/>
              </w:rPr>
            </w:pPr>
            <w:r w:rsidRPr="00D64BB6">
              <w:rPr>
                <w:rFonts w:cstheme="minorHAnsi"/>
                <w:b/>
                <w:lang w:val="tr-TR"/>
              </w:rPr>
              <w:t>Ceza Mahkûmiyeti ve Güvenlik Tedbirleri</w:t>
            </w:r>
          </w:p>
        </w:tc>
        <w:tc>
          <w:tcPr>
            <w:tcW w:w="708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7E375D8" w14:textId="77777777" w:rsidR="00C0469C" w:rsidRPr="001D4785" w:rsidRDefault="00C0469C" w:rsidP="00257454">
            <w:pPr>
              <w:spacing w:before="120" w:after="120" w:line="288" w:lineRule="auto"/>
              <w:jc w:val="both"/>
              <w:rPr>
                <w:rFonts w:cstheme="minorHAnsi"/>
                <w:lang w:val="tr-TR"/>
              </w:rPr>
            </w:pPr>
            <w:r w:rsidRPr="001D4785">
              <w:rPr>
                <w:rFonts w:cstheme="minorHAnsi"/>
                <w:lang w:val="tr-TR"/>
              </w:rPr>
              <w:t>Kişiler hakkında yerli ve yabancı yargı makamları tarafından verilen adli para ve hapis cezası kararı, erteleme kararı ve güvenlik tedbiri kararına ilişkin bilgi</w:t>
            </w:r>
          </w:p>
        </w:tc>
      </w:tr>
      <w:tr w:rsidR="00C0469C" w:rsidRPr="001D4785" w14:paraId="5BD188D6" w14:textId="77777777" w:rsidTr="00257454">
        <w:tc>
          <w:tcPr>
            <w:tcW w:w="212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47F69E17" w14:textId="77777777" w:rsidR="00C0469C" w:rsidRPr="001D4785" w:rsidRDefault="00C0469C" w:rsidP="00257454">
            <w:pPr>
              <w:spacing w:before="120" w:after="120" w:line="288" w:lineRule="auto"/>
              <w:jc w:val="both"/>
              <w:rPr>
                <w:rFonts w:cstheme="minorHAnsi"/>
                <w:b/>
                <w:highlight w:val="yellow"/>
                <w:lang w:val="tr-TR"/>
              </w:rPr>
            </w:pPr>
            <w:r w:rsidRPr="00D64BB6">
              <w:rPr>
                <w:rFonts w:cstheme="minorHAnsi"/>
                <w:b/>
                <w:lang w:val="tr-TR"/>
              </w:rPr>
              <w:t>Sağlık Bilgileri</w:t>
            </w:r>
          </w:p>
        </w:tc>
        <w:tc>
          <w:tcPr>
            <w:tcW w:w="708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B1BB890" w14:textId="77777777" w:rsidR="00C0469C" w:rsidRPr="001D4785" w:rsidRDefault="00C0469C" w:rsidP="00257454">
            <w:pPr>
              <w:spacing w:before="120" w:after="120" w:line="288" w:lineRule="auto"/>
              <w:jc w:val="both"/>
              <w:rPr>
                <w:rFonts w:cstheme="minorHAnsi"/>
                <w:lang w:val="tr-TR"/>
              </w:rPr>
            </w:pPr>
            <w:r w:rsidRPr="001D4785">
              <w:rPr>
                <w:rFonts w:cstheme="minorHAnsi"/>
                <w:lang w:val="tr-TR"/>
              </w:rPr>
              <w:t>Kişilerin hastalık ve engel durumlarını gösterir her tür bilgi</w:t>
            </w:r>
          </w:p>
          <w:p w14:paraId="51844ED8" w14:textId="77777777" w:rsidR="00C0469C" w:rsidRPr="001D4785" w:rsidRDefault="00C0469C" w:rsidP="00257454">
            <w:pPr>
              <w:spacing w:before="120" w:after="120" w:line="288" w:lineRule="auto"/>
              <w:jc w:val="both"/>
              <w:rPr>
                <w:rFonts w:cstheme="minorHAnsi"/>
                <w:lang w:val="tr-TR"/>
              </w:rPr>
            </w:pPr>
          </w:p>
        </w:tc>
      </w:tr>
    </w:tbl>
    <w:p w14:paraId="107B67D1" w14:textId="18FF71E3" w:rsidR="00C0469C" w:rsidRDefault="00C0469C" w:rsidP="00C0469C">
      <w:pPr>
        <w:jc w:val="both"/>
        <w:rPr>
          <w:b/>
          <w:bCs/>
        </w:rPr>
      </w:pPr>
    </w:p>
    <w:p w14:paraId="1AC0CEAF" w14:textId="3E624F96" w:rsidR="007156B4" w:rsidRDefault="007156B4" w:rsidP="00C0469C">
      <w:pPr>
        <w:jc w:val="both"/>
        <w:rPr>
          <w:b/>
          <w:bCs/>
        </w:rPr>
      </w:pPr>
    </w:p>
    <w:p w14:paraId="5C94071B" w14:textId="0753AD1C" w:rsidR="007156B4" w:rsidRDefault="007156B4" w:rsidP="00C0469C">
      <w:pPr>
        <w:jc w:val="both"/>
        <w:rPr>
          <w:b/>
          <w:bCs/>
        </w:rPr>
      </w:pPr>
    </w:p>
    <w:p w14:paraId="3024C23F" w14:textId="77777777" w:rsidR="007156B4" w:rsidRPr="001D4785" w:rsidRDefault="007156B4" w:rsidP="00C0469C">
      <w:pPr>
        <w:jc w:val="both"/>
        <w:rPr>
          <w:b/>
          <w:bCs/>
        </w:rPr>
      </w:pPr>
    </w:p>
    <w:p w14:paraId="60F03446" w14:textId="3B15DB80" w:rsidR="007156B4" w:rsidRPr="00D14C63" w:rsidRDefault="00C0469C" w:rsidP="00D14C63">
      <w:pPr>
        <w:pStyle w:val="ListeParagraf"/>
        <w:numPr>
          <w:ilvl w:val="0"/>
          <w:numId w:val="1"/>
        </w:numPr>
        <w:spacing w:line="256" w:lineRule="auto"/>
        <w:jc w:val="both"/>
        <w:rPr>
          <w:b/>
          <w:bCs/>
        </w:rPr>
      </w:pPr>
      <w:r w:rsidRPr="001D4785">
        <w:rPr>
          <w:b/>
          <w:bCs/>
        </w:rPr>
        <w:t>SORUMLULUK, KAYIT ORTAMI VE KULLANIM KURALLARI</w:t>
      </w:r>
    </w:p>
    <w:p w14:paraId="66CCDC57" w14:textId="007F3E85" w:rsidR="00C0469C" w:rsidRDefault="00C0469C" w:rsidP="00C0469C">
      <w:pPr>
        <w:jc w:val="both"/>
      </w:pPr>
      <w:r w:rsidRPr="001D4785">
        <w:t xml:space="preserve">Özel nitelikli kişisel verilerin güvenliği, sorumlu birim </w:t>
      </w:r>
      <w:r w:rsidRPr="00D64BB6">
        <w:t>ya da veri işleyen(ler)</w:t>
      </w:r>
      <w:r w:rsidRPr="001D4785">
        <w:t xml:space="preserve"> tarafından sağlanmaktadır:</w:t>
      </w:r>
    </w:p>
    <w:p w14:paraId="2C8E36C8" w14:textId="77777777" w:rsidR="007156B4" w:rsidRPr="001D4785" w:rsidRDefault="007156B4" w:rsidP="00C0469C">
      <w:pPr>
        <w:jc w:val="both"/>
      </w:pPr>
    </w:p>
    <w:tbl>
      <w:tblPr>
        <w:tblStyle w:val="TabloKlavuzu"/>
        <w:tblW w:w="5081" w:type="pct"/>
        <w:tblInd w:w="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402"/>
        <w:gridCol w:w="1079"/>
        <w:gridCol w:w="1518"/>
        <w:gridCol w:w="1978"/>
        <w:gridCol w:w="3232"/>
      </w:tblGrid>
      <w:tr w:rsidR="00C0469C" w:rsidRPr="009709A1" w14:paraId="25E76AB2" w14:textId="77777777" w:rsidTr="00257454">
        <w:tc>
          <w:tcPr>
            <w:tcW w:w="7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5C2DDC41" w14:textId="77777777" w:rsidR="00C0469C" w:rsidRPr="009709A1" w:rsidRDefault="00C0469C" w:rsidP="00257454">
            <w:pPr>
              <w:spacing w:before="120" w:after="120" w:line="288" w:lineRule="auto"/>
              <w:jc w:val="both"/>
              <w:rPr>
                <w:rFonts w:cstheme="minorHAnsi"/>
                <w:b/>
                <w:lang w:val="tr-TR"/>
              </w:rPr>
            </w:pPr>
            <w:r w:rsidRPr="009709A1">
              <w:rPr>
                <w:rFonts w:cstheme="minorHAnsi"/>
                <w:b/>
                <w:lang w:val="tr-TR"/>
              </w:rPr>
              <w:t>Veri Kategorisi</w:t>
            </w:r>
          </w:p>
        </w:tc>
        <w:tc>
          <w:tcPr>
            <w:tcW w:w="5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6667A3F8" w14:textId="77777777" w:rsidR="00C0469C" w:rsidRPr="009709A1" w:rsidRDefault="00C0469C" w:rsidP="00257454">
            <w:pPr>
              <w:spacing w:before="120" w:after="120" w:line="288" w:lineRule="auto"/>
              <w:jc w:val="both"/>
              <w:rPr>
                <w:rFonts w:cstheme="minorHAnsi"/>
                <w:b/>
                <w:lang w:val="tr-TR"/>
              </w:rPr>
            </w:pPr>
            <w:r w:rsidRPr="009709A1">
              <w:rPr>
                <w:rFonts w:cstheme="minorHAnsi"/>
                <w:b/>
                <w:lang w:val="tr-TR"/>
              </w:rPr>
              <w:t>İlgili Kişi</w:t>
            </w:r>
          </w:p>
        </w:tc>
        <w:tc>
          <w:tcPr>
            <w:tcW w:w="82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310A52B0" w14:textId="77777777" w:rsidR="00C0469C" w:rsidRPr="009709A1" w:rsidRDefault="00C0469C" w:rsidP="00257454">
            <w:pPr>
              <w:spacing w:before="120" w:after="120" w:line="288" w:lineRule="auto"/>
              <w:jc w:val="both"/>
              <w:rPr>
                <w:rFonts w:cstheme="minorHAnsi"/>
                <w:b/>
                <w:lang w:val="tr-TR"/>
              </w:rPr>
            </w:pPr>
            <w:r w:rsidRPr="009709A1">
              <w:rPr>
                <w:rFonts w:cstheme="minorHAnsi"/>
                <w:b/>
                <w:lang w:val="tr-TR"/>
              </w:rPr>
              <w:t>Sorumlu Birim/Kişi</w:t>
            </w:r>
          </w:p>
        </w:tc>
        <w:tc>
          <w:tcPr>
            <w:tcW w:w="107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7412EB7F" w14:textId="77777777" w:rsidR="00C0469C" w:rsidRPr="009709A1" w:rsidRDefault="00C0469C" w:rsidP="00257454">
            <w:pPr>
              <w:spacing w:before="120" w:after="120" w:line="288" w:lineRule="auto"/>
              <w:rPr>
                <w:rFonts w:cstheme="minorHAnsi"/>
                <w:b/>
                <w:lang w:val="tr-TR"/>
              </w:rPr>
            </w:pPr>
            <w:r w:rsidRPr="009709A1">
              <w:rPr>
                <w:rFonts w:cstheme="minorHAnsi"/>
                <w:b/>
                <w:lang w:val="tr-TR"/>
              </w:rPr>
              <w:t>Kayıt Ortamı</w:t>
            </w:r>
          </w:p>
        </w:tc>
        <w:tc>
          <w:tcPr>
            <w:tcW w:w="1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14E164DF" w14:textId="77777777" w:rsidR="00C0469C" w:rsidRPr="009709A1" w:rsidRDefault="00C0469C" w:rsidP="00257454">
            <w:pPr>
              <w:spacing w:before="120" w:after="120" w:line="288" w:lineRule="auto"/>
              <w:jc w:val="both"/>
              <w:rPr>
                <w:rFonts w:cstheme="minorHAnsi"/>
                <w:b/>
                <w:lang w:val="tr-TR"/>
              </w:rPr>
            </w:pPr>
            <w:r w:rsidRPr="009709A1">
              <w:rPr>
                <w:rFonts w:cstheme="minorHAnsi"/>
                <w:b/>
                <w:lang w:val="tr-TR"/>
              </w:rPr>
              <w:t>Süreç ve Açıklama</w:t>
            </w:r>
          </w:p>
        </w:tc>
      </w:tr>
      <w:tr w:rsidR="00C0469C" w:rsidRPr="009709A1" w14:paraId="2762E4A9" w14:textId="77777777" w:rsidTr="00257454">
        <w:tc>
          <w:tcPr>
            <w:tcW w:w="7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39F50488" w14:textId="77777777" w:rsidR="00C0469C" w:rsidRPr="009709A1" w:rsidRDefault="00C0469C" w:rsidP="00257454">
            <w:pPr>
              <w:spacing w:before="120" w:after="120" w:line="288" w:lineRule="auto"/>
              <w:jc w:val="both"/>
              <w:rPr>
                <w:rFonts w:cstheme="minorHAnsi"/>
                <w:lang w:val="tr-TR"/>
              </w:rPr>
            </w:pPr>
            <w:r w:rsidRPr="009709A1">
              <w:rPr>
                <w:rFonts w:cstheme="minorHAnsi"/>
                <w:lang w:val="tr-TR"/>
              </w:rPr>
              <w:t>Sağlık Bilgileri</w:t>
            </w:r>
          </w:p>
        </w:tc>
        <w:tc>
          <w:tcPr>
            <w:tcW w:w="5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07BBB565" w14:textId="77777777" w:rsidR="00C0469C" w:rsidRPr="009709A1" w:rsidRDefault="00C0469C" w:rsidP="00257454">
            <w:pPr>
              <w:spacing w:before="120" w:after="120" w:line="288" w:lineRule="auto"/>
              <w:jc w:val="both"/>
              <w:rPr>
                <w:rFonts w:cstheme="minorHAnsi"/>
                <w:lang w:val="tr-TR"/>
              </w:rPr>
            </w:pPr>
            <w:r w:rsidRPr="009709A1">
              <w:rPr>
                <w:rFonts w:cstheme="minorHAnsi"/>
                <w:lang w:val="tr-TR"/>
              </w:rPr>
              <w:t>Çalışan</w:t>
            </w:r>
          </w:p>
        </w:tc>
        <w:tc>
          <w:tcPr>
            <w:tcW w:w="82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472A8AF4" w14:textId="20F7EA04" w:rsidR="00C0469C" w:rsidRPr="004D6B42" w:rsidRDefault="00875B56" w:rsidP="00257454">
            <w:pPr>
              <w:spacing w:before="120" w:after="120" w:line="288" w:lineRule="auto"/>
              <w:rPr>
                <w:rFonts w:cstheme="minorHAnsi"/>
                <w:lang w:val="tr-TR"/>
              </w:rPr>
            </w:pPr>
            <w:r w:rsidRPr="004D6B42">
              <w:rPr>
                <w:rFonts w:cstheme="minorHAnsi"/>
                <w:lang w:val="tr-TR"/>
              </w:rPr>
              <w:t>İşyeri Hekimi</w:t>
            </w:r>
          </w:p>
        </w:tc>
        <w:tc>
          <w:tcPr>
            <w:tcW w:w="107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477306C6" w14:textId="3DFD9131" w:rsidR="00875B56" w:rsidRPr="009709A1" w:rsidRDefault="00875B56" w:rsidP="00257454">
            <w:pPr>
              <w:spacing w:before="120" w:after="120" w:line="288" w:lineRule="auto"/>
              <w:rPr>
                <w:rFonts w:cstheme="minorHAnsi"/>
                <w:lang w:val="tr-TR"/>
              </w:rPr>
            </w:pPr>
            <w:r w:rsidRPr="009709A1">
              <w:rPr>
                <w:rFonts w:cstheme="minorHAnsi"/>
                <w:lang w:val="tr-TR"/>
              </w:rPr>
              <w:t>İşyeri Hekimi Dolapları (Sağlık durumu bilgileri, işe giriş ve periyodik muayene formları, sağlık raporları vb. evraklar İşyeri Hekimi ve İş Güvenliği Uzmanının erişimine açık bulunan kilitli dolaplarda saklanmaktadır.)</w:t>
            </w:r>
          </w:p>
          <w:p w14:paraId="4621935F" w14:textId="0BC70603" w:rsidR="00C0469C" w:rsidRPr="009709A1" w:rsidRDefault="00875B56" w:rsidP="00257454">
            <w:pPr>
              <w:spacing w:before="120" w:after="120" w:line="288" w:lineRule="auto"/>
              <w:rPr>
                <w:rFonts w:cstheme="minorHAnsi"/>
                <w:lang w:val="tr-TR"/>
              </w:rPr>
            </w:pPr>
            <w:r w:rsidRPr="009709A1">
              <w:rPr>
                <w:rFonts w:cstheme="minorHAnsi"/>
                <w:lang w:val="tr-TR"/>
              </w:rPr>
              <w:t>İşyeri Hekiminin erişimine açık bulunan elektronik ortamdaki dosyalar</w:t>
            </w:r>
            <w:r w:rsidR="00C0469C" w:rsidRPr="009709A1">
              <w:rPr>
                <w:rFonts w:cstheme="minorHAnsi"/>
                <w:lang w:val="tr-TR"/>
              </w:rPr>
              <w:t xml:space="preserve"> </w:t>
            </w:r>
          </w:p>
        </w:tc>
        <w:tc>
          <w:tcPr>
            <w:tcW w:w="1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111F9076" w14:textId="14727976" w:rsidR="00C0469C" w:rsidRPr="009709A1" w:rsidRDefault="00C0469C" w:rsidP="00257454">
            <w:pPr>
              <w:spacing w:before="120" w:after="120" w:line="288" w:lineRule="auto"/>
              <w:rPr>
                <w:rFonts w:cstheme="minorHAnsi"/>
                <w:lang w:val="tr-TR"/>
              </w:rPr>
            </w:pPr>
            <w:r w:rsidRPr="009709A1">
              <w:rPr>
                <w:rFonts w:cstheme="minorHAnsi"/>
                <w:lang w:val="tr-TR"/>
              </w:rPr>
              <w:t xml:space="preserve">Çalışanın sağlık bilgileri </w:t>
            </w:r>
            <w:r w:rsidR="00767DCA">
              <w:rPr>
                <w:rFonts w:cstheme="minorHAnsi"/>
                <w:lang w:val="tr-TR"/>
              </w:rPr>
              <w:t xml:space="preserve">acil durum süreçlerinin yürütülmesi, </w:t>
            </w:r>
            <w:r w:rsidRPr="009709A1">
              <w:rPr>
                <w:rFonts w:cstheme="minorHAnsi"/>
                <w:lang w:val="tr-TR"/>
              </w:rPr>
              <w:t xml:space="preserve">iş sağlığı ve güvenliğinin sağlanması ile </w:t>
            </w:r>
            <w:r w:rsidR="00767DCA">
              <w:rPr>
                <w:rFonts w:cstheme="minorHAnsi"/>
                <w:lang w:val="tr-TR"/>
              </w:rPr>
              <w:t xml:space="preserve">iş akdi ve </w:t>
            </w:r>
            <w:r w:rsidRPr="009709A1">
              <w:rPr>
                <w:rFonts w:cstheme="minorHAnsi"/>
                <w:lang w:val="tr-TR"/>
              </w:rPr>
              <w:t xml:space="preserve">mevzuattan kaynaklanan yükümlülüklerin yerine getirilmesi amacıyla işlenir ve aktarılır. </w:t>
            </w:r>
          </w:p>
          <w:p w14:paraId="02F5B665" w14:textId="77777777" w:rsidR="00C0469C" w:rsidRPr="009709A1" w:rsidRDefault="00C0469C" w:rsidP="00257454">
            <w:pPr>
              <w:spacing w:before="120" w:after="120" w:line="288" w:lineRule="auto"/>
              <w:rPr>
                <w:rFonts w:cstheme="minorHAnsi"/>
                <w:lang w:val="tr-TR"/>
              </w:rPr>
            </w:pPr>
            <w:r w:rsidRPr="009709A1">
              <w:rPr>
                <w:rFonts w:cstheme="minorHAnsi"/>
                <w:lang w:val="tr-TR"/>
              </w:rPr>
              <w:t xml:space="preserve">Şuur kaybı gibi fiili imkânsızlık hallerinde bu bilgiler özel hayata saygı ilkesi gözetilerek çalışan yakınına ve yetkili resmi makamlara aktarılır. </w:t>
            </w:r>
          </w:p>
        </w:tc>
      </w:tr>
      <w:tr w:rsidR="00C0469C" w:rsidRPr="009709A1" w14:paraId="30023ABD" w14:textId="77777777" w:rsidTr="00C966CC">
        <w:trPr>
          <w:trHeight w:val="5541"/>
        </w:trPr>
        <w:tc>
          <w:tcPr>
            <w:tcW w:w="7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17EAE212" w14:textId="6B64BFA6" w:rsidR="00C0469C" w:rsidRPr="009709A1" w:rsidRDefault="00875B56" w:rsidP="00257454">
            <w:pPr>
              <w:spacing w:before="120" w:after="120" w:line="288" w:lineRule="auto"/>
              <w:rPr>
                <w:rFonts w:cstheme="minorHAnsi"/>
                <w:highlight w:val="yellow"/>
                <w:lang w:val="tr-TR"/>
              </w:rPr>
            </w:pPr>
            <w:r w:rsidRPr="009709A1">
              <w:rPr>
                <w:rFonts w:cstheme="minorHAnsi"/>
                <w:lang w:val="tr-TR"/>
              </w:rPr>
              <w:lastRenderedPageBreak/>
              <w:t>Sağlık Bilgileri</w:t>
            </w:r>
          </w:p>
        </w:tc>
        <w:tc>
          <w:tcPr>
            <w:tcW w:w="5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28EF7946" w14:textId="77777777" w:rsidR="00C0469C" w:rsidRPr="009709A1" w:rsidRDefault="00C0469C" w:rsidP="00257454">
            <w:pPr>
              <w:spacing w:before="120" w:after="120" w:line="288" w:lineRule="auto"/>
              <w:jc w:val="both"/>
              <w:rPr>
                <w:rFonts w:cstheme="minorHAnsi"/>
                <w:lang w:val="tr-TR"/>
              </w:rPr>
            </w:pPr>
            <w:r w:rsidRPr="009709A1">
              <w:rPr>
                <w:rFonts w:cstheme="minorHAnsi"/>
                <w:lang w:val="tr-TR"/>
              </w:rPr>
              <w:t>Çalışan</w:t>
            </w:r>
          </w:p>
        </w:tc>
        <w:tc>
          <w:tcPr>
            <w:tcW w:w="82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060C36C5" w14:textId="70A46425" w:rsidR="00C0469C" w:rsidRPr="009709A1" w:rsidRDefault="00875B56" w:rsidP="00257454">
            <w:pPr>
              <w:spacing w:before="120" w:after="120" w:line="288" w:lineRule="auto"/>
              <w:rPr>
                <w:rFonts w:cstheme="minorHAnsi"/>
                <w:lang w:val="tr-TR"/>
              </w:rPr>
            </w:pPr>
            <w:r w:rsidRPr="00B50A86">
              <w:rPr>
                <w:rFonts w:cstheme="minorHAnsi"/>
                <w:lang w:val="tr-TR"/>
              </w:rPr>
              <w:t>İş Güvenliği Uzmanı</w:t>
            </w:r>
          </w:p>
        </w:tc>
        <w:tc>
          <w:tcPr>
            <w:tcW w:w="107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1D9DC9DB" w14:textId="1AE0D56B" w:rsidR="00C0469C" w:rsidRPr="009709A1" w:rsidRDefault="00875B56" w:rsidP="00257454">
            <w:pPr>
              <w:spacing w:before="120" w:after="120" w:line="288" w:lineRule="auto"/>
              <w:rPr>
                <w:rFonts w:cstheme="minorHAnsi"/>
                <w:lang w:val="tr-TR"/>
              </w:rPr>
            </w:pPr>
            <w:r w:rsidRPr="009709A1">
              <w:rPr>
                <w:rFonts w:cstheme="minorHAnsi"/>
                <w:lang w:val="tr-TR"/>
              </w:rPr>
              <w:t>İş Güvenliği Uzmanı Dolapları (İş Kazası Tespit Tutanakları vb. evraklar İş Güvenliği Uzmanı ve İşyeri Hekiminin erişimine açık bulunan kilitli dolaplarda saklanmaktadır.)</w:t>
            </w:r>
          </w:p>
          <w:p w14:paraId="7651B6C0" w14:textId="32F00AA0" w:rsidR="00C0469C" w:rsidRPr="009709A1" w:rsidRDefault="00875B56" w:rsidP="00257454">
            <w:pPr>
              <w:spacing w:before="120" w:after="120" w:line="288" w:lineRule="auto"/>
              <w:rPr>
                <w:rFonts w:cstheme="minorHAnsi"/>
                <w:lang w:val="tr-TR"/>
              </w:rPr>
            </w:pPr>
            <w:r w:rsidRPr="009709A1">
              <w:rPr>
                <w:rFonts w:cstheme="minorHAnsi"/>
                <w:lang w:val="tr-TR"/>
              </w:rPr>
              <w:t>İş Güvenliği Uzmanının erişimine açık bulunan elektronik ortamdaki dosyalar</w:t>
            </w:r>
          </w:p>
        </w:tc>
        <w:tc>
          <w:tcPr>
            <w:tcW w:w="1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14:paraId="15263D56" w14:textId="77777777" w:rsidR="00767DCA" w:rsidRPr="009709A1" w:rsidRDefault="00767DCA" w:rsidP="00767DCA">
            <w:pPr>
              <w:spacing w:before="120" w:after="120" w:line="288" w:lineRule="auto"/>
              <w:rPr>
                <w:rFonts w:cstheme="minorHAnsi"/>
                <w:lang w:val="tr-TR"/>
              </w:rPr>
            </w:pPr>
            <w:r w:rsidRPr="009709A1">
              <w:rPr>
                <w:rFonts w:cstheme="minorHAnsi"/>
                <w:lang w:val="tr-TR"/>
              </w:rPr>
              <w:t xml:space="preserve">Çalışanın sağlık bilgileri </w:t>
            </w:r>
            <w:r>
              <w:rPr>
                <w:rFonts w:cstheme="minorHAnsi"/>
                <w:lang w:val="tr-TR"/>
              </w:rPr>
              <w:t xml:space="preserve">acil durum süreçlerinin yürütülmesi, </w:t>
            </w:r>
            <w:r w:rsidRPr="009709A1">
              <w:rPr>
                <w:rFonts w:cstheme="minorHAnsi"/>
                <w:lang w:val="tr-TR"/>
              </w:rPr>
              <w:t xml:space="preserve">iş sağlığı ve güvenliğinin sağlanması ile </w:t>
            </w:r>
            <w:r>
              <w:rPr>
                <w:rFonts w:cstheme="minorHAnsi"/>
                <w:lang w:val="tr-TR"/>
              </w:rPr>
              <w:t xml:space="preserve">iş akdi ve </w:t>
            </w:r>
            <w:r w:rsidRPr="009709A1">
              <w:rPr>
                <w:rFonts w:cstheme="minorHAnsi"/>
                <w:lang w:val="tr-TR"/>
              </w:rPr>
              <w:t xml:space="preserve">mevzuattan kaynaklanan yükümlülüklerin yerine getirilmesi amacıyla işlenir ve aktarılır. </w:t>
            </w:r>
          </w:p>
          <w:p w14:paraId="37DCE321" w14:textId="1879DDAB" w:rsidR="00C0469C" w:rsidRPr="009709A1" w:rsidRDefault="00875B56" w:rsidP="00767DCA">
            <w:pPr>
              <w:spacing w:before="120" w:after="120" w:line="288" w:lineRule="auto"/>
              <w:rPr>
                <w:rFonts w:cstheme="minorHAnsi"/>
                <w:lang w:val="tr-TR"/>
              </w:rPr>
            </w:pPr>
            <w:r w:rsidRPr="009709A1">
              <w:rPr>
                <w:rFonts w:cstheme="minorHAnsi"/>
                <w:lang w:val="tr-TR"/>
              </w:rPr>
              <w:t>Şuur kaybı gibi fiili imkansızlık hallerinde bu bilgiler özel hayata saygı ilkesi gözetilerek çalışan yakınına ve yetkili resmi makamlara aktarılır.</w:t>
            </w:r>
          </w:p>
        </w:tc>
      </w:tr>
      <w:tr w:rsidR="00875B56" w:rsidRPr="009709A1" w14:paraId="3A3B7BF3" w14:textId="77777777" w:rsidTr="00257454">
        <w:tc>
          <w:tcPr>
            <w:tcW w:w="7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30FCC3F" w14:textId="2F190DA0" w:rsidR="00875B56" w:rsidRPr="009709A1" w:rsidRDefault="00875B56" w:rsidP="00257454">
            <w:pPr>
              <w:spacing w:before="120" w:after="120" w:line="288" w:lineRule="auto"/>
              <w:rPr>
                <w:rFonts w:cstheme="minorHAnsi"/>
                <w:lang w:val="tr-TR"/>
              </w:rPr>
            </w:pPr>
            <w:r w:rsidRPr="009709A1">
              <w:rPr>
                <w:rFonts w:cstheme="minorHAnsi"/>
                <w:lang w:val="tr-TR"/>
              </w:rPr>
              <w:t>Ceza Mahkumiyeti ve Güvenlik Tedbirlerine İlişkin Bilgiler</w:t>
            </w:r>
          </w:p>
        </w:tc>
        <w:tc>
          <w:tcPr>
            <w:tcW w:w="586"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01B5D10" w14:textId="42D20D25" w:rsidR="00875B56" w:rsidRPr="009709A1" w:rsidRDefault="00875B56" w:rsidP="00257454">
            <w:pPr>
              <w:spacing w:before="120" w:after="120" w:line="288" w:lineRule="auto"/>
              <w:jc w:val="both"/>
              <w:rPr>
                <w:rFonts w:cstheme="minorHAnsi"/>
                <w:lang w:val="tr-TR"/>
              </w:rPr>
            </w:pPr>
            <w:r w:rsidRPr="009709A1">
              <w:rPr>
                <w:rFonts w:cstheme="minorHAnsi"/>
                <w:lang w:val="tr-TR"/>
              </w:rPr>
              <w:t>Çalışan</w:t>
            </w:r>
          </w:p>
        </w:tc>
        <w:tc>
          <w:tcPr>
            <w:tcW w:w="82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4CDEFED" w14:textId="576FFD4E" w:rsidR="00875B56" w:rsidRPr="009709A1" w:rsidRDefault="00165440" w:rsidP="00257454">
            <w:pPr>
              <w:spacing w:before="120" w:after="120" w:line="288" w:lineRule="auto"/>
              <w:rPr>
                <w:rFonts w:cstheme="minorHAnsi"/>
                <w:lang w:val="tr-TR"/>
              </w:rPr>
            </w:pPr>
            <w:r>
              <w:rPr>
                <w:rFonts w:cstheme="minorHAnsi"/>
                <w:lang w:val="tr-TR"/>
              </w:rPr>
              <w:t>Mali İşler</w:t>
            </w:r>
          </w:p>
        </w:tc>
        <w:tc>
          <w:tcPr>
            <w:tcW w:w="1074"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0B7A2B05" w14:textId="239D561D" w:rsidR="00875B56" w:rsidRPr="009709A1" w:rsidRDefault="00165440" w:rsidP="00257454">
            <w:pPr>
              <w:spacing w:before="120" w:after="120" w:line="288" w:lineRule="auto"/>
              <w:rPr>
                <w:rFonts w:cstheme="minorHAnsi"/>
                <w:lang w:val="tr-TR"/>
              </w:rPr>
            </w:pPr>
            <w:r>
              <w:rPr>
                <w:rFonts w:cstheme="minorHAnsi"/>
                <w:lang w:val="tr-TR"/>
              </w:rPr>
              <w:t>Mali İşler</w:t>
            </w:r>
            <w:r w:rsidR="00325E80">
              <w:rPr>
                <w:rFonts w:cstheme="minorHAnsi"/>
                <w:lang w:val="tr-TR"/>
              </w:rPr>
              <w:t xml:space="preserve"> Birimi</w:t>
            </w:r>
            <w:r w:rsidR="00875B56" w:rsidRPr="009709A1">
              <w:rPr>
                <w:rFonts w:cstheme="minorHAnsi"/>
                <w:lang w:val="tr-TR"/>
              </w:rPr>
              <w:t xml:space="preserve"> Kilitli Dolaplarında Personel Özlük Dosyası İçerisinde (Adli Sicil Kaydı)</w:t>
            </w:r>
          </w:p>
        </w:tc>
        <w:tc>
          <w:tcPr>
            <w:tcW w:w="1755"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8D12313" w14:textId="45F05019" w:rsidR="00875B56" w:rsidRPr="009709A1" w:rsidRDefault="00875B56" w:rsidP="00B77A94">
            <w:pPr>
              <w:spacing w:before="120" w:after="120" w:line="288" w:lineRule="auto"/>
              <w:jc w:val="both"/>
              <w:rPr>
                <w:rFonts w:cstheme="minorHAnsi"/>
                <w:lang w:val="tr-TR"/>
              </w:rPr>
            </w:pPr>
            <w:r w:rsidRPr="009709A1">
              <w:rPr>
                <w:rFonts w:cstheme="minorHAnsi"/>
                <w:lang w:val="tr-TR"/>
              </w:rPr>
              <w:t>Çalışana ait adli sicil kaydı; iş</w:t>
            </w:r>
            <w:r w:rsidR="00346B84">
              <w:rPr>
                <w:rFonts w:cstheme="minorHAnsi"/>
                <w:lang w:val="tr-TR"/>
              </w:rPr>
              <w:t xml:space="preserve"> başvurusu kabul edilen çalışanların </w:t>
            </w:r>
            <w:r w:rsidRPr="009709A1">
              <w:rPr>
                <w:rFonts w:cstheme="minorHAnsi"/>
                <w:lang w:val="tr-TR"/>
              </w:rPr>
              <w:t>mevcut bir suçtan dolayı fiilen aranmadığını</w:t>
            </w:r>
            <w:r w:rsidR="00346B84">
              <w:rPr>
                <w:rFonts w:cstheme="minorHAnsi"/>
                <w:lang w:val="tr-TR"/>
              </w:rPr>
              <w:t>n</w:t>
            </w:r>
            <w:r w:rsidRPr="009709A1">
              <w:rPr>
                <w:rFonts w:cstheme="minorHAnsi"/>
                <w:lang w:val="tr-TR"/>
              </w:rPr>
              <w:t xml:space="preserve"> teyit</w:t>
            </w:r>
            <w:r w:rsidR="00346B84">
              <w:rPr>
                <w:rFonts w:cstheme="minorHAnsi"/>
                <w:lang w:val="tr-TR"/>
              </w:rPr>
              <w:t xml:space="preserve"> edilmesi ve güvenlik süreçlerinin yürütülmesi</w:t>
            </w:r>
            <w:r w:rsidRPr="009709A1">
              <w:rPr>
                <w:rFonts w:cstheme="minorHAnsi"/>
                <w:lang w:val="tr-TR"/>
              </w:rPr>
              <w:t xml:space="preserve"> amacıyla işe giriş esnasında temin edilir ve </w:t>
            </w:r>
            <w:r w:rsidR="00B77A94">
              <w:rPr>
                <w:rFonts w:cstheme="minorHAnsi"/>
                <w:lang w:val="tr-TR"/>
              </w:rPr>
              <w:t>Mali İşler</w:t>
            </w:r>
            <w:r w:rsidR="00346B84">
              <w:rPr>
                <w:rFonts w:cstheme="minorHAnsi"/>
                <w:lang w:val="tr-TR"/>
              </w:rPr>
              <w:t xml:space="preserve"> Birimi</w:t>
            </w:r>
            <w:r w:rsidR="00F60519" w:rsidRPr="009709A1">
              <w:rPr>
                <w:rFonts w:cstheme="minorHAnsi"/>
                <w:lang w:val="tr-TR"/>
              </w:rPr>
              <w:t xml:space="preserve"> </w:t>
            </w:r>
            <w:r w:rsidRPr="009709A1">
              <w:rPr>
                <w:rFonts w:cstheme="minorHAnsi"/>
                <w:lang w:val="tr-TR"/>
              </w:rPr>
              <w:t>kilitli dolaplarında saklanır</w:t>
            </w:r>
            <w:r w:rsidR="009709A1" w:rsidRPr="009709A1">
              <w:rPr>
                <w:rFonts w:cstheme="minorHAnsi"/>
                <w:lang w:val="tr-TR"/>
              </w:rPr>
              <w:t>.</w:t>
            </w:r>
          </w:p>
        </w:tc>
      </w:tr>
    </w:tbl>
    <w:p w14:paraId="03BECF2D" w14:textId="77777777" w:rsidR="00A74463" w:rsidRDefault="00A74463" w:rsidP="00A74463">
      <w:pPr>
        <w:pStyle w:val="ListeParagraf"/>
        <w:spacing w:line="256" w:lineRule="auto"/>
        <w:ind w:left="360"/>
        <w:jc w:val="both"/>
        <w:rPr>
          <w:b/>
          <w:bCs/>
        </w:rPr>
      </w:pPr>
    </w:p>
    <w:p w14:paraId="2D68DD23" w14:textId="40CFECDE" w:rsidR="00C0469C" w:rsidRPr="001D4785" w:rsidRDefault="00C0469C" w:rsidP="00C0469C">
      <w:pPr>
        <w:pStyle w:val="ListeParagraf"/>
        <w:numPr>
          <w:ilvl w:val="0"/>
          <w:numId w:val="1"/>
        </w:numPr>
        <w:spacing w:line="256" w:lineRule="auto"/>
        <w:jc w:val="both"/>
        <w:rPr>
          <w:b/>
          <w:bCs/>
        </w:rPr>
      </w:pPr>
      <w:r w:rsidRPr="001D4785">
        <w:rPr>
          <w:b/>
          <w:bCs/>
        </w:rPr>
        <w:t>VERİLERİN KORUNMASI VE AKTARIM KURALLARI</w:t>
      </w:r>
    </w:p>
    <w:p w14:paraId="2AF853D8" w14:textId="77777777" w:rsidR="00C0469C" w:rsidRPr="001D4785" w:rsidRDefault="00C0469C" w:rsidP="00C0469C">
      <w:pPr>
        <w:jc w:val="both"/>
      </w:pPr>
      <w:r w:rsidRPr="001D4785">
        <w:t xml:space="preserve">Özel nitelikli kişisel verilere sorumlu birim dışında üçüncü kişiler tarafından erişim sağlanamamaktadır. </w:t>
      </w:r>
    </w:p>
    <w:p w14:paraId="13B54DED" w14:textId="77777777" w:rsidR="00C0469C" w:rsidRPr="001D4785" w:rsidRDefault="00C0469C" w:rsidP="00C0469C">
      <w:pPr>
        <w:jc w:val="both"/>
      </w:pPr>
      <w:r w:rsidRPr="001D4785">
        <w:t xml:space="preserve">Özel durumlarda talepte bulunan birim ve/veya kişilere, gerekli görülmesi halinde, sorumlu birim tarafından özel nitelikli kişisel verilere ilişkin “uygundur/uygun değildir” şeklinde genel bir açıklama yapılabilmektedir. </w:t>
      </w:r>
    </w:p>
    <w:p w14:paraId="2D7B4960" w14:textId="77777777" w:rsidR="00C0469C" w:rsidRPr="001D4785" w:rsidRDefault="00C0469C" w:rsidP="00C0469C">
      <w:pPr>
        <w:jc w:val="both"/>
      </w:pPr>
      <w:r w:rsidRPr="001D4785">
        <w:t xml:space="preserve">Özel nitelikli kişisel verilerin bulunduğu veri kayıt ortamları, yine özel durumlarda sorumlu birimin refakatinde incelenebilmekte olup; bu verileri ihtiva eden belge ve kayıtların çoğaltılması mümkün değildir. Söz konusu incelemelerde temin edilen özel nitelikli kişisel veriler başkaca kayıt ortamlarına aktarılamamaktadır. </w:t>
      </w:r>
    </w:p>
    <w:p w14:paraId="6DBABE44" w14:textId="77777777" w:rsidR="00C0469C" w:rsidRPr="001D4785" w:rsidRDefault="00C0469C" w:rsidP="00C0469C">
      <w:pPr>
        <w:jc w:val="both"/>
      </w:pPr>
      <w:r w:rsidRPr="001D4785">
        <w:t xml:space="preserve">Resmi kurum ve kuruluşlara kanuni zorunluluk nedeniyle yapılacak aktarımlar ve Kanun ile izin verilen haller dışında, özel nitelikli kişisel veriler üçüncü kişi/kurumlara doğrudan ilgili kişinin talebi ya da onayı olmaksızın aktarılmamaktadır. </w:t>
      </w:r>
    </w:p>
    <w:p w14:paraId="3022211A" w14:textId="77777777" w:rsidR="00C0469C" w:rsidRPr="001D4785" w:rsidRDefault="00C0469C" w:rsidP="00C0469C">
      <w:pPr>
        <w:jc w:val="both"/>
      </w:pPr>
      <w:r w:rsidRPr="001D4785">
        <w:lastRenderedPageBreak/>
        <w:t>Kişisel veri aktarımları:</w:t>
      </w:r>
    </w:p>
    <w:p w14:paraId="285CB997" w14:textId="77777777" w:rsidR="00C0469C" w:rsidRPr="001D4785" w:rsidRDefault="00C0469C" w:rsidP="00C0469C">
      <w:pPr>
        <w:pStyle w:val="ListeParagraf"/>
        <w:numPr>
          <w:ilvl w:val="0"/>
          <w:numId w:val="2"/>
        </w:numPr>
        <w:spacing w:line="256" w:lineRule="auto"/>
        <w:jc w:val="both"/>
      </w:pPr>
      <w:r w:rsidRPr="001D4785">
        <w:t xml:space="preserve">Resmi/özel kurum veya kuruluşun elektronik sistemi üzerinden, </w:t>
      </w:r>
    </w:p>
    <w:p w14:paraId="37868914" w14:textId="77777777" w:rsidR="00AA0379" w:rsidRPr="004E413D" w:rsidRDefault="00AA0379" w:rsidP="00AA0379">
      <w:pPr>
        <w:pStyle w:val="ListeParagraf"/>
        <w:numPr>
          <w:ilvl w:val="0"/>
          <w:numId w:val="2"/>
        </w:numPr>
        <w:spacing w:line="256" w:lineRule="auto"/>
        <w:jc w:val="both"/>
      </w:pPr>
      <w:r w:rsidRPr="004E413D">
        <w:t>Elektronik ortamda tercihen SFTP yöntemiyle veya ikincil bir yöntem olarak kurumsal e-posta adresinden kurumsal e-posta adresine e-posta içeriğinde özel nitelikli kişisel veri bulunmayacak şekilde e-posta ekinde ilgili belgenin şifrelenmesi yöntemiyle,</w:t>
      </w:r>
    </w:p>
    <w:p w14:paraId="63366320" w14:textId="77777777" w:rsidR="00C0469C" w:rsidRPr="001D4785" w:rsidRDefault="00C0469C" w:rsidP="00C0469C">
      <w:pPr>
        <w:pStyle w:val="ListeParagraf"/>
        <w:numPr>
          <w:ilvl w:val="0"/>
          <w:numId w:val="2"/>
        </w:numPr>
        <w:spacing w:line="256" w:lineRule="auto"/>
        <w:jc w:val="both"/>
      </w:pPr>
      <w:r w:rsidRPr="001D4785">
        <w:t xml:space="preserve">Kağıt ortamında gerçekleşen aktarımlarda posta/kargo zarfına konulmadan önce üzerinde “gizlidir” ibaresiyle ayrı bir kağıt zarf içerisinde ilgili evrakın sigortalanması suretiyle iadeli taahhütlü olarak yapılacaktır. </w:t>
      </w:r>
    </w:p>
    <w:p w14:paraId="3885A9BA" w14:textId="77777777" w:rsidR="00C0469C" w:rsidRPr="001D4785" w:rsidRDefault="00C0469C" w:rsidP="00C0469C">
      <w:pPr>
        <w:pStyle w:val="ListeParagraf"/>
        <w:ind w:left="360"/>
        <w:jc w:val="both"/>
      </w:pPr>
    </w:p>
    <w:p w14:paraId="7ACD1C02" w14:textId="77777777" w:rsidR="00C0469C" w:rsidRPr="001D4785" w:rsidRDefault="00C0469C" w:rsidP="00C0469C">
      <w:pPr>
        <w:pStyle w:val="ListeParagraf"/>
        <w:numPr>
          <w:ilvl w:val="0"/>
          <w:numId w:val="1"/>
        </w:numPr>
        <w:spacing w:line="256" w:lineRule="auto"/>
        <w:jc w:val="both"/>
        <w:rPr>
          <w:b/>
          <w:bCs/>
        </w:rPr>
      </w:pPr>
      <w:r w:rsidRPr="001D4785">
        <w:rPr>
          <w:b/>
          <w:bCs/>
        </w:rPr>
        <w:t>POLİTİKA’NIN SAKLANMASI</w:t>
      </w:r>
    </w:p>
    <w:p w14:paraId="29B877F5" w14:textId="059CFA4B" w:rsidR="00C0469C" w:rsidRPr="001D4785" w:rsidRDefault="00C0469C" w:rsidP="00C0469C">
      <w:pPr>
        <w:jc w:val="both"/>
      </w:pPr>
      <w:r w:rsidRPr="001D4785">
        <w:t>Politika, ıslak imzalı (basılı kağıt) ve internet sitesinde olmak üzere iki farklı ortamda yayımlanır. Basılı kağıt nüsha</w:t>
      </w:r>
      <w:r w:rsidR="00355D03">
        <w:t xml:space="preserve"> </w:t>
      </w:r>
      <w:r w:rsidR="00651CFB">
        <w:t>İrtibat Kişisi</w:t>
      </w:r>
      <w:r w:rsidRPr="001D4785">
        <w:t xml:space="preserve"> tarafından saklanır. </w:t>
      </w:r>
    </w:p>
    <w:p w14:paraId="24DEB5F7" w14:textId="77777777" w:rsidR="00C0469C" w:rsidRPr="001D4785" w:rsidRDefault="00C0469C" w:rsidP="00C0469C">
      <w:pPr>
        <w:pStyle w:val="ListeParagraf"/>
        <w:numPr>
          <w:ilvl w:val="0"/>
          <w:numId w:val="1"/>
        </w:numPr>
        <w:spacing w:line="256" w:lineRule="auto"/>
        <w:jc w:val="both"/>
        <w:rPr>
          <w:b/>
          <w:bCs/>
        </w:rPr>
      </w:pPr>
      <w:r w:rsidRPr="001D4785">
        <w:rPr>
          <w:b/>
          <w:bCs/>
        </w:rPr>
        <w:t>POLİTİKA’NIN YÜRÜRLÜĞÜ VE GÜNCELLEME PERİYODU</w:t>
      </w:r>
    </w:p>
    <w:p w14:paraId="0EF794E8" w14:textId="23654CD1" w:rsidR="00C0469C" w:rsidRPr="001D4785" w:rsidRDefault="00C0469C" w:rsidP="00C0469C">
      <w:pPr>
        <w:jc w:val="both"/>
      </w:pPr>
      <w:r w:rsidRPr="001D4785">
        <w:t xml:space="preserve">İşbu Politika, </w:t>
      </w:r>
      <w:r w:rsidR="004E413D" w:rsidRPr="004E413D">
        <w:t>17/07/2024</w:t>
      </w:r>
      <w:r w:rsidRPr="004E413D">
        <w:t>.</w:t>
      </w:r>
      <w:r w:rsidRPr="001D4785">
        <w:t xml:space="preserve"> tarihi itibariyle yürürlüğe girmiştir.</w:t>
      </w:r>
    </w:p>
    <w:p w14:paraId="4B184965" w14:textId="6CAFBE59" w:rsidR="00C0469C" w:rsidRDefault="00C0469C" w:rsidP="00C0469C">
      <w:pPr>
        <w:jc w:val="both"/>
      </w:pPr>
      <w:r w:rsidRPr="001D4785">
        <w:t>İşbu Politika, ihtiyaç duyuldukça gözden geçirilir ve gerekli olan bölümler güncellenir.</w:t>
      </w:r>
    </w:p>
    <w:p w14:paraId="2D265B7D" w14:textId="77777777" w:rsidR="00F35EF2" w:rsidRPr="001D4785" w:rsidRDefault="00F35EF2" w:rsidP="00C0469C">
      <w:pPr>
        <w:jc w:val="both"/>
      </w:pPr>
    </w:p>
    <w:tbl>
      <w:tblPr>
        <w:tblStyle w:val="TabloKlavuzu"/>
        <w:tblW w:w="0" w:type="auto"/>
        <w:tblInd w:w="0" w:type="dxa"/>
        <w:tblLook w:val="04A0" w:firstRow="1" w:lastRow="0" w:firstColumn="1" w:lastColumn="0" w:noHBand="0" w:noVBand="1"/>
      </w:tblPr>
      <w:tblGrid>
        <w:gridCol w:w="1812"/>
        <w:gridCol w:w="1812"/>
        <w:gridCol w:w="1812"/>
        <w:gridCol w:w="1813"/>
        <w:gridCol w:w="1813"/>
      </w:tblGrid>
      <w:tr w:rsidR="00C0469C" w:rsidRPr="001D4785" w14:paraId="47DEB457" w14:textId="77777777" w:rsidTr="00257454">
        <w:tc>
          <w:tcPr>
            <w:tcW w:w="1812" w:type="dxa"/>
            <w:shd w:val="clear" w:color="auto" w:fill="E7E6E6" w:themeFill="background2"/>
          </w:tcPr>
          <w:p w14:paraId="7DC47B9C" w14:textId="77777777" w:rsidR="00C0469C" w:rsidRPr="001D4785" w:rsidRDefault="00C0469C" w:rsidP="00257454">
            <w:pPr>
              <w:spacing w:before="120" w:after="120"/>
              <w:rPr>
                <w:rFonts w:cstheme="minorHAnsi"/>
                <w:b/>
                <w:lang w:val="tr-TR"/>
              </w:rPr>
            </w:pPr>
            <w:r w:rsidRPr="001D4785">
              <w:rPr>
                <w:rFonts w:cstheme="minorHAnsi"/>
                <w:b/>
                <w:lang w:val="tr-TR"/>
              </w:rPr>
              <w:t>No</w:t>
            </w:r>
          </w:p>
        </w:tc>
        <w:tc>
          <w:tcPr>
            <w:tcW w:w="1812" w:type="dxa"/>
            <w:shd w:val="clear" w:color="auto" w:fill="E7E6E6" w:themeFill="background2"/>
          </w:tcPr>
          <w:p w14:paraId="75C6FA4B" w14:textId="77777777" w:rsidR="00C0469C" w:rsidRPr="001D4785" w:rsidRDefault="00C0469C" w:rsidP="00257454">
            <w:pPr>
              <w:spacing w:before="120" w:after="120"/>
              <w:rPr>
                <w:rFonts w:cstheme="minorHAnsi"/>
                <w:b/>
                <w:lang w:val="tr-TR"/>
              </w:rPr>
            </w:pPr>
            <w:r w:rsidRPr="001D4785">
              <w:rPr>
                <w:rFonts w:cstheme="minorHAnsi"/>
                <w:b/>
                <w:lang w:val="tr-TR"/>
              </w:rPr>
              <w:t xml:space="preserve">Versiyon </w:t>
            </w:r>
          </w:p>
        </w:tc>
        <w:tc>
          <w:tcPr>
            <w:tcW w:w="1812" w:type="dxa"/>
            <w:shd w:val="clear" w:color="auto" w:fill="E7E6E6" w:themeFill="background2"/>
          </w:tcPr>
          <w:p w14:paraId="6D7CFB5D" w14:textId="77777777" w:rsidR="00C0469C" w:rsidRPr="001D4785" w:rsidRDefault="00C0469C" w:rsidP="00257454">
            <w:pPr>
              <w:spacing w:before="120" w:after="120"/>
              <w:rPr>
                <w:rFonts w:cstheme="minorHAnsi"/>
                <w:b/>
                <w:lang w:val="tr-TR"/>
              </w:rPr>
            </w:pPr>
            <w:r w:rsidRPr="001D4785">
              <w:rPr>
                <w:rFonts w:cstheme="minorHAnsi"/>
                <w:b/>
                <w:lang w:val="tr-TR"/>
              </w:rPr>
              <w:t xml:space="preserve">Tarih </w:t>
            </w:r>
          </w:p>
        </w:tc>
        <w:tc>
          <w:tcPr>
            <w:tcW w:w="1813" w:type="dxa"/>
            <w:shd w:val="clear" w:color="auto" w:fill="E7E6E6" w:themeFill="background2"/>
          </w:tcPr>
          <w:p w14:paraId="6EC4232E" w14:textId="77777777" w:rsidR="00C0469C" w:rsidRPr="001D4785" w:rsidRDefault="00C0469C" w:rsidP="00257454">
            <w:pPr>
              <w:spacing w:before="120" w:after="120"/>
              <w:rPr>
                <w:rFonts w:cstheme="minorHAnsi"/>
                <w:b/>
                <w:lang w:val="tr-TR"/>
              </w:rPr>
            </w:pPr>
            <w:r w:rsidRPr="001D4785">
              <w:rPr>
                <w:rFonts w:cstheme="minorHAnsi"/>
                <w:b/>
                <w:lang w:val="tr-TR"/>
              </w:rPr>
              <w:t>Hazırlayan</w:t>
            </w:r>
          </w:p>
        </w:tc>
        <w:tc>
          <w:tcPr>
            <w:tcW w:w="1813" w:type="dxa"/>
            <w:shd w:val="clear" w:color="auto" w:fill="E7E6E6" w:themeFill="background2"/>
          </w:tcPr>
          <w:p w14:paraId="75869A69" w14:textId="77777777" w:rsidR="00C0469C" w:rsidRPr="001D4785" w:rsidRDefault="00C0469C" w:rsidP="00257454">
            <w:pPr>
              <w:spacing w:before="120" w:after="120"/>
              <w:rPr>
                <w:rFonts w:cstheme="minorHAnsi"/>
                <w:b/>
                <w:lang w:val="tr-TR"/>
              </w:rPr>
            </w:pPr>
            <w:r w:rsidRPr="001D4785">
              <w:rPr>
                <w:rFonts w:cstheme="minorHAnsi"/>
                <w:b/>
                <w:lang w:val="tr-TR"/>
              </w:rPr>
              <w:t xml:space="preserve">Değişiklik </w:t>
            </w:r>
          </w:p>
        </w:tc>
      </w:tr>
      <w:tr w:rsidR="00C0469C" w:rsidRPr="001D4785" w14:paraId="4BA01817" w14:textId="77777777" w:rsidTr="00257454">
        <w:tc>
          <w:tcPr>
            <w:tcW w:w="1812" w:type="dxa"/>
          </w:tcPr>
          <w:p w14:paraId="45B953BC" w14:textId="77777777" w:rsidR="00C0469C" w:rsidRPr="001D4785" w:rsidRDefault="00C0469C" w:rsidP="00257454">
            <w:pPr>
              <w:spacing w:before="120" w:after="120"/>
              <w:rPr>
                <w:rFonts w:cstheme="minorHAnsi"/>
                <w:lang w:val="tr-TR"/>
              </w:rPr>
            </w:pPr>
            <w:r w:rsidRPr="001D4785">
              <w:rPr>
                <w:rFonts w:cstheme="minorHAnsi"/>
                <w:lang w:val="tr-TR"/>
              </w:rPr>
              <w:t>1</w:t>
            </w:r>
          </w:p>
        </w:tc>
        <w:tc>
          <w:tcPr>
            <w:tcW w:w="1812" w:type="dxa"/>
          </w:tcPr>
          <w:p w14:paraId="71CE1CE0" w14:textId="77777777" w:rsidR="00C0469C" w:rsidRPr="001D4785" w:rsidRDefault="00C0469C" w:rsidP="00257454">
            <w:pPr>
              <w:spacing w:before="120" w:after="120"/>
              <w:rPr>
                <w:rFonts w:cstheme="minorHAnsi"/>
                <w:lang w:val="tr-TR"/>
              </w:rPr>
            </w:pPr>
            <w:r w:rsidRPr="001D4785">
              <w:rPr>
                <w:rFonts w:cstheme="minorHAnsi"/>
                <w:lang w:val="tr-TR"/>
              </w:rPr>
              <w:t>1.0</w:t>
            </w:r>
          </w:p>
        </w:tc>
        <w:tc>
          <w:tcPr>
            <w:tcW w:w="1812" w:type="dxa"/>
            <w:shd w:val="clear" w:color="auto" w:fill="auto"/>
          </w:tcPr>
          <w:p w14:paraId="0B36A574" w14:textId="0AAB1C50" w:rsidR="00C0469C" w:rsidRPr="001D4785" w:rsidRDefault="004E413D" w:rsidP="00257454">
            <w:pPr>
              <w:spacing w:before="120" w:after="120"/>
              <w:rPr>
                <w:rFonts w:cstheme="minorHAnsi"/>
                <w:lang w:val="tr-TR"/>
              </w:rPr>
            </w:pPr>
            <w:r>
              <w:rPr>
                <w:rFonts w:cstheme="minorHAnsi"/>
                <w:lang w:val="tr-TR"/>
              </w:rPr>
              <w:t>17.07.2024</w:t>
            </w:r>
          </w:p>
        </w:tc>
        <w:tc>
          <w:tcPr>
            <w:tcW w:w="1813" w:type="dxa"/>
          </w:tcPr>
          <w:p w14:paraId="4A761228" w14:textId="77777777" w:rsidR="00C0469C" w:rsidRPr="001D4785" w:rsidRDefault="00C0469C" w:rsidP="00257454">
            <w:pPr>
              <w:spacing w:before="120" w:after="120"/>
              <w:rPr>
                <w:rFonts w:cstheme="minorHAnsi"/>
                <w:lang w:val="tr-TR"/>
              </w:rPr>
            </w:pPr>
            <w:r w:rsidRPr="001D4785">
              <w:rPr>
                <w:rFonts w:cstheme="minorHAnsi"/>
                <w:lang w:val="tr-TR"/>
              </w:rPr>
              <w:t xml:space="preserve">İrtibat Kişisi </w:t>
            </w:r>
          </w:p>
        </w:tc>
        <w:tc>
          <w:tcPr>
            <w:tcW w:w="1813" w:type="dxa"/>
          </w:tcPr>
          <w:p w14:paraId="2EA35928" w14:textId="5E3FDB46" w:rsidR="00C0469C" w:rsidRPr="001D4785" w:rsidRDefault="004E413D" w:rsidP="00257454">
            <w:pPr>
              <w:spacing w:before="120" w:after="120"/>
              <w:rPr>
                <w:rFonts w:cstheme="minorHAnsi"/>
                <w:lang w:val="tr-TR"/>
              </w:rPr>
            </w:pPr>
            <w:r>
              <w:rPr>
                <w:rFonts w:cstheme="minorHAnsi"/>
                <w:lang w:val="tr-TR"/>
              </w:rPr>
              <w:t>İLK YAYIN</w:t>
            </w:r>
          </w:p>
        </w:tc>
      </w:tr>
      <w:tr w:rsidR="00C0469C" w:rsidRPr="001D4785" w14:paraId="3E7E7C42" w14:textId="77777777" w:rsidTr="00257454">
        <w:tc>
          <w:tcPr>
            <w:tcW w:w="1812" w:type="dxa"/>
          </w:tcPr>
          <w:p w14:paraId="1D30610A" w14:textId="77777777" w:rsidR="00C0469C" w:rsidRPr="001D4785" w:rsidRDefault="00C0469C" w:rsidP="00257454">
            <w:pPr>
              <w:spacing w:before="120" w:after="120"/>
              <w:rPr>
                <w:rFonts w:cstheme="minorHAnsi"/>
                <w:lang w:val="tr-TR"/>
              </w:rPr>
            </w:pPr>
          </w:p>
        </w:tc>
        <w:tc>
          <w:tcPr>
            <w:tcW w:w="1812" w:type="dxa"/>
          </w:tcPr>
          <w:p w14:paraId="64078696" w14:textId="77777777" w:rsidR="00C0469C" w:rsidRPr="001D4785" w:rsidRDefault="00C0469C" w:rsidP="00257454">
            <w:pPr>
              <w:spacing w:before="120" w:after="120"/>
              <w:rPr>
                <w:rFonts w:cstheme="minorHAnsi"/>
                <w:lang w:val="tr-TR"/>
              </w:rPr>
            </w:pPr>
          </w:p>
        </w:tc>
        <w:tc>
          <w:tcPr>
            <w:tcW w:w="1812" w:type="dxa"/>
          </w:tcPr>
          <w:p w14:paraId="0FC30D0D" w14:textId="77777777" w:rsidR="00C0469C" w:rsidRPr="001D4785" w:rsidRDefault="00C0469C" w:rsidP="00257454">
            <w:pPr>
              <w:spacing w:before="120" w:after="120"/>
              <w:rPr>
                <w:rFonts w:cstheme="minorHAnsi"/>
                <w:lang w:val="tr-TR"/>
              </w:rPr>
            </w:pPr>
          </w:p>
        </w:tc>
        <w:tc>
          <w:tcPr>
            <w:tcW w:w="1813" w:type="dxa"/>
          </w:tcPr>
          <w:p w14:paraId="48D8560F" w14:textId="77777777" w:rsidR="00C0469C" w:rsidRPr="001D4785" w:rsidRDefault="00C0469C" w:rsidP="00257454">
            <w:pPr>
              <w:spacing w:before="120" w:after="120"/>
              <w:rPr>
                <w:rFonts w:cstheme="minorHAnsi"/>
                <w:lang w:val="tr-TR"/>
              </w:rPr>
            </w:pPr>
          </w:p>
        </w:tc>
        <w:tc>
          <w:tcPr>
            <w:tcW w:w="1813" w:type="dxa"/>
          </w:tcPr>
          <w:p w14:paraId="2E6A48FA" w14:textId="77777777" w:rsidR="00C0469C" w:rsidRPr="001D4785" w:rsidRDefault="00C0469C" w:rsidP="00257454">
            <w:pPr>
              <w:spacing w:before="120" w:after="120"/>
              <w:rPr>
                <w:rFonts w:cstheme="minorHAnsi"/>
                <w:lang w:val="tr-TR"/>
              </w:rPr>
            </w:pPr>
          </w:p>
        </w:tc>
      </w:tr>
    </w:tbl>
    <w:p w14:paraId="1571B6DD" w14:textId="77777777" w:rsidR="00C0469C" w:rsidRPr="001D4785" w:rsidRDefault="00C0469C" w:rsidP="00C0469C">
      <w:pPr>
        <w:pStyle w:val="ListeParagraf"/>
        <w:ind w:left="360"/>
        <w:jc w:val="both"/>
        <w:rPr>
          <w:b/>
          <w:bCs/>
        </w:rPr>
      </w:pPr>
    </w:p>
    <w:p w14:paraId="4680E951" w14:textId="77777777" w:rsidR="00C0469C" w:rsidRPr="001D4785" w:rsidRDefault="00C0469C" w:rsidP="00C0469C">
      <w:r w:rsidRPr="001D4785">
        <w:t xml:space="preserve"> </w:t>
      </w:r>
    </w:p>
    <w:p w14:paraId="5A83A8A2" w14:textId="77777777" w:rsidR="00E917E8" w:rsidRDefault="00E917E8"/>
    <w:sectPr w:rsidR="00E917E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8F189" w14:textId="77777777" w:rsidR="00063DE9" w:rsidRDefault="00063DE9">
      <w:pPr>
        <w:spacing w:after="0" w:line="240" w:lineRule="auto"/>
      </w:pPr>
      <w:r>
        <w:separator/>
      </w:r>
    </w:p>
  </w:endnote>
  <w:endnote w:type="continuationSeparator" w:id="0">
    <w:p w14:paraId="240DC676" w14:textId="77777777" w:rsidR="00063DE9" w:rsidRDefault="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6004"/>
      <w:docPartObj>
        <w:docPartGallery w:val="Page Numbers (Bottom of Page)"/>
        <w:docPartUnique/>
      </w:docPartObj>
    </w:sdtPr>
    <w:sdtContent>
      <w:p w14:paraId="17B19BAF" w14:textId="18F28675" w:rsidR="00CA6EBA" w:rsidRDefault="008B453C">
        <w:pPr>
          <w:pStyle w:val="AltBilgi"/>
          <w:jc w:val="center"/>
        </w:pPr>
        <w:r>
          <w:fldChar w:fldCharType="begin"/>
        </w:r>
        <w:r>
          <w:instrText>PAGE   \* MERGEFORMAT</w:instrText>
        </w:r>
        <w:r>
          <w:fldChar w:fldCharType="separate"/>
        </w:r>
        <w:r w:rsidR="003D01DD">
          <w:rPr>
            <w:noProof/>
          </w:rPr>
          <w:t>3</w:t>
        </w:r>
        <w:r>
          <w:fldChar w:fldCharType="end"/>
        </w:r>
      </w:p>
    </w:sdtContent>
  </w:sdt>
  <w:p w14:paraId="13AE4BA3" w14:textId="77777777" w:rsidR="00CA6EBA" w:rsidRDefault="00CA6E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2B6C" w14:textId="77777777" w:rsidR="00063DE9" w:rsidRDefault="00063DE9">
      <w:pPr>
        <w:spacing w:after="0" w:line="240" w:lineRule="auto"/>
      </w:pPr>
      <w:r>
        <w:separator/>
      </w:r>
    </w:p>
  </w:footnote>
  <w:footnote w:type="continuationSeparator" w:id="0">
    <w:p w14:paraId="1062CD7A" w14:textId="77777777" w:rsidR="00063DE9" w:rsidRDefault="0006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5" w:type="dxa"/>
      <w:tblLayout w:type="fixed"/>
      <w:tblCellMar>
        <w:left w:w="10" w:type="dxa"/>
        <w:right w:w="10" w:type="dxa"/>
      </w:tblCellMar>
      <w:tblLook w:val="0000" w:firstRow="0" w:lastRow="0" w:firstColumn="0" w:lastColumn="0" w:noHBand="0" w:noVBand="0"/>
    </w:tblPr>
    <w:tblGrid>
      <w:gridCol w:w="1059"/>
      <w:gridCol w:w="6596"/>
      <w:gridCol w:w="1276"/>
      <w:gridCol w:w="1134"/>
    </w:tblGrid>
    <w:tr w:rsidR="004E413D" w:rsidRPr="00FA07F0" w14:paraId="2095DC40" w14:textId="77777777" w:rsidTr="004C1550">
      <w:trPr>
        <w:cantSplit/>
        <w:trHeight w:val="274"/>
      </w:trPr>
      <w:tc>
        <w:tcPr>
          <w:tcW w:w="1059"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677D569" w14:textId="77777777" w:rsidR="004E413D" w:rsidRPr="00FA07F0" w:rsidRDefault="004E413D" w:rsidP="004E413D">
          <w:pPr>
            <w:pStyle w:val="stbilgi0"/>
            <w:jc w:val="center"/>
          </w:pPr>
          <w:r w:rsidRPr="00FA07F0">
            <w:rPr>
              <w:noProof/>
            </w:rPr>
            <w:drawing>
              <wp:inline distT="0" distB="0" distL="0" distR="0" wp14:anchorId="48684A6F" wp14:editId="63FC5D69">
                <wp:extent cx="583565" cy="598805"/>
                <wp:effectExtent l="0" t="0" r="6985" b="0"/>
                <wp:docPr id="942567078" name="Resim 94256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598805"/>
                        </a:xfrm>
                        <a:prstGeom prst="rect">
                          <a:avLst/>
                        </a:prstGeom>
                        <a:noFill/>
                        <a:ln>
                          <a:noFill/>
                        </a:ln>
                      </pic:spPr>
                    </pic:pic>
                  </a:graphicData>
                </a:graphic>
              </wp:inline>
            </w:drawing>
          </w:r>
        </w:p>
      </w:tc>
      <w:tc>
        <w:tcPr>
          <w:tcW w:w="6596"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88BA46B" w14:textId="65E98BCB" w:rsidR="004E413D" w:rsidRPr="00FA07F0" w:rsidRDefault="004E413D" w:rsidP="004E413D">
          <w:pPr>
            <w:pStyle w:val="stbilgi0"/>
            <w:jc w:val="center"/>
            <w:rPr>
              <w:rFonts w:cs="Arial"/>
              <w:b/>
              <w:i/>
              <w:iCs/>
            </w:rPr>
          </w:pPr>
          <w:r>
            <w:rPr>
              <w:rFonts w:cs="Arial"/>
              <w:b/>
            </w:rPr>
            <w:t>ÖZEL NİTELİKLİ KİŞİSEL VERİ GÜVENLİĞİ POLİTİKASI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2F8159"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Doküman No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82236D" w14:textId="5A510689" w:rsidR="004E413D" w:rsidRPr="00FA07F0" w:rsidRDefault="004E413D" w:rsidP="004E413D">
          <w:pPr>
            <w:pStyle w:val="stbilgi0"/>
            <w:spacing w:before="40" w:after="40" w:line="276" w:lineRule="auto"/>
            <w:rPr>
              <w:rFonts w:cs="Arial"/>
              <w:sz w:val="16"/>
              <w:szCs w:val="18"/>
            </w:rPr>
          </w:pPr>
          <w:r w:rsidRPr="00FA07F0">
            <w:rPr>
              <w:rFonts w:cs="Arial"/>
              <w:sz w:val="16"/>
              <w:szCs w:val="18"/>
            </w:rPr>
            <w:t>NRB.</w:t>
          </w:r>
          <w:r>
            <w:rPr>
              <w:rFonts w:cs="Arial"/>
              <w:sz w:val="16"/>
              <w:szCs w:val="18"/>
            </w:rPr>
            <w:t>KVKK-20</w:t>
          </w:r>
        </w:p>
      </w:tc>
    </w:tr>
    <w:tr w:rsidR="004E413D" w:rsidRPr="00FA07F0" w14:paraId="3728FF6B" w14:textId="77777777" w:rsidTr="004C1550">
      <w:trPr>
        <w:cantSplit/>
        <w:trHeight w:val="264"/>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02F39F3" w14:textId="77777777" w:rsidR="004E413D" w:rsidRPr="00FA07F0" w:rsidRDefault="004E413D" w:rsidP="004E413D">
          <w:pPr>
            <w:pStyle w:val="stbilgi0"/>
            <w:jc w:val="center"/>
            <w:rPr>
              <w:rFonts w:cs="Arial"/>
              <w:b/>
              <w:bCs/>
              <w:spacing w:val="40"/>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ECEE9AF" w14:textId="77777777" w:rsidR="004E413D" w:rsidRPr="00FA07F0" w:rsidRDefault="004E413D" w:rsidP="004E413D">
          <w:pPr>
            <w:pStyle w:val="stbilgi0"/>
            <w:jc w:val="center"/>
            <w:rPr>
              <w:rFonts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E7A037"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İlk Yayın Tarihi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FA15F5" w14:textId="77777777" w:rsidR="004E413D" w:rsidRPr="004C1550" w:rsidRDefault="004E413D" w:rsidP="004E413D">
          <w:pPr>
            <w:pStyle w:val="stbilgi0"/>
            <w:spacing w:before="40" w:after="40" w:line="276" w:lineRule="auto"/>
            <w:rPr>
              <w:rFonts w:cs="Arial"/>
              <w:sz w:val="16"/>
              <w:szCs w:val="18"/>
            </w:rPr>
          </w:pPr>
          <w:r w:rsidRPr="004C1550">
            <w:rPr>
              <w:rFonts w:cs="Arial"/>
              <w:sz w:val="16"/>
              <w:szCs w:val="18"/>
            </w:rPr>
            <w:t>1</w:t>
          </w:r>
          <w:r>
            <w:rPr>
              <w:rFonts w:cs="Arial"/>
              <w:sz w:val="16"/>
              <w:szCs w:val="18"/>
            </w:rPr>
            <w:t>7</w:t>
          </w:r>
          <w:r w:rsidRPr="004C1550">
            <w:rPr>
              <w:rFonts w:cs="Arial"/>
              <w:sz w:val="16"/>
              <w:szCs w:val="18"/>
            </w:rPr>
            <w:t>.0</w:t>
          </w:r>
          <w:r>
            <w:rPr>
              <w:rFonts w:cs="Arial"/>
              <w:sz w:val="16"/>
              <w:szCs w:val="18"/>
            </w:rPr>
            <w:t>7</w:t>
          </w:r>
          <w:r w:rsidRPr="004C1550">
            <w:rPr>
              <w:rFonts w:cs="Arial"/>
              <w:sz w:val="16"/>
              <w:szCs w:val="18"/>
            </w:rPr>
            <w:t>.2024</w:t>
          </w:r>
        </w:p>
      </w:tc>
    </w:tr>
    <w:tr w:rsidR="004E413D" w:rsidRPr="00FA07F0" w14:paraId="33E56339" w14:textId="77777777" w:rsidTr="004C1550">
      <w:trPr>
        <w:cantSplit/>
        <w:trHeight w:val="158"/>
      </w:trPr>
      <w:tc>
        <w:tcPr>
          <w:tcW w:w="1059"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ADB8B2C" w14:textId="77777777" w:rsidR="004E413D" w:rsidRPr="00FA07F0" w:rsidRDefault="004E413D" w:rsidP="004E413D">
          <w:pPr>
            <w:pStyle w:val="stbilgi0"/>
            <w:jc w:val="center"/>
            <w:rPr>
              <w:rFonts w:cs="Arial"/>
              <w:b/>
            </w:rPr>
          </w:pPr>
        </w:p>
      </w:tc>
      <w:tc>
        <w:tcPr>
          <w:tcW w:w="6596"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376E357" w14:textId="77777777" w:rsidR="004E413D" w:rsidRPr="00FA07F0" w:rsidRDefault="004E413D" w:rsidP="004E413D">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FC379A"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Revizyon No</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0EDF539" w14:textId="77777777" w:rsidR="004E413D" w:rsidRPr="00FA07F0" w:rsidRDefault="004E413D" w:rsidP="004E413D">
          <w:pPr>
            <w:pStyle w:val="stbilgi0"/>
            <w:spacing w:before="40" w:after="40" w:line="276" w:lineRule="auto"/>
            <w:rPr>
              <w:rFonts w:cs="Arial"/>
              <w:sz w:val="16"/>
              <w:szCs w:val="18"/>
            </w:rPr>
          </w:pPr>
          <w:r w:rsidRPr="00FA07F0">
            <w:rPr>
              <w:rFonts w:cs="Arial"/>
              <w:sz w:val="16"/>
              <w:szCs w:val="18"/>
            </w:rPr>
            <w:t>İlk Yayın</w:t>
          </w:r>
        </w:p>
      </w:tc>
    </w:tr>
    <w:tr w:rsidR="004E413D" w:rsidRPr="00FA07F0" w14:paraId="2F8625E3" w14:textId="77777777" w:rsidTr="004C1550">
      <w:trPr>
        <w:cantSplit/>
        <w:trHeight w:val="131"/>
      </w:trPr>
      <w:tc>
        <w:tcPr>
          <w:tcW w:w="1059"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1C618B" w14:textId="77777777" w:rsidR="004E413D" w:rsidRPr="00FA07F0" w:rsidRDefault="004E413D" w:rsidP="004E413D">
          <w:pPr>
            <w:pStyle w:val="stbilgi0"/>
            <w:jc w:val="center"/>
            <w:rPr>
              <w:rFonts w:cs="Arial"/>
              <w:b/>
            </w:rPr>
          </w:pPr>
        </w:p>
      </w:tc>
      <w:tc>
        <w:tcPr>
          <w:tcW w:w="6596"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D6D130" w14:textId="77777777" w:rsidR="004E413D" w:rsidRPr="00FA07F0" w:rsidRDefault="004E413D" w:rsidP="004E413D">
          <w:pPr>
            <w:pStyle w:val="stbilgi0"/>
            <w:jc w:val="center"/>
            <w:rPr>
              <w:rFonts w:cs="Arial"/>
              <w:b/>
              <w:spacing w:val="4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23E10C" w14:textId="77777777" w:rsidR="004E413D" w:rsidRPr="00FA07F0" w:rsidRDefault="004E413D" w:rsidP="004E413D">
          <w:pPr>
            <w:pStyle w:val="stbilgi0"/>
            <w:spacing w:before="40" w:after="40" w:line="276" w:lineRule="auto"/>
            <w:rPr>
              <w:rFonts w:cs="Arial"/>
              <w:b/>
              <w:sz w:val="16"/>
              <w:szCs w:val="18"/>
            </w:rPr>
          </w:pPr>
          <w:r w:rsidRPr="00FA07F0">
            <w:rPr>
              <w:rFonts w:cs="Arial"/>
              <w:b/>
              <w:sz w:val="16"/>
              <w:szCs w:val="18"/>
            </w:rPr>
            <w:t>Revizyon Tarihi</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7D8C90" w14:textId="77777777" w:rsidR="004E413D" w:rsidRPr="00FA07F0" w:rsidRDefault="004E413D" w:rsidP="004E413D">
          <w:pPr>
            <w:pStyle w:val="stbilgi0"/>
            <w:spacing w:before="40" w:after="40" w:line="276" w:lineRule="auto"/>
            <w:rPr>
              <w:rFonts w:cs="Arial"/>
              <w:sz w:val="16"/>
              <w:szCs w:val="18"/>
            </w:rPr>
          </w:pPr>
          <w:r w:rsidRPr="00FA07F0">
            <w:rPr>
              <w:rFonts w:cs="Arial"/>
              <w:sz w:val="16"/>
              <w:szCs w:val="18"/>
            </w:rPr>
            <w:t>-</w:t>
          </w:r>
        </w:p>
      </w:tc>
    </w:tr>
  </w:tbl>
  <w:p w14:paraId="64EEB134" w14:textId="77777777" w:rsidR="00CA6EBA" w:rsidRDefault="00CA6E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E551A"/>
    <w:multiLevelType w:val="multilevel"/>
    <w:tmpl w:val="34B687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B2F549B"/>
    <w:multiLevelType w:val="hybridMultilevel"/>
    <w:tmpl w:val="8C18039C"/>
    <w:lvl w:ilvl="0" w:tplc="D7FA2606">
      <w:start w:val="1"/>
      <w:numFmt w:val="lowerLetter"/>
      <w:lvlText w:val="%1)"/>
      <w:lvlJc w:val="left"/>
      <w:pPr>
        <w:ind w:left="360" w:hanging="360"/>
      </w:pPr>
      <w:rPr>
        <w:rFonts w:asciiTheme="minorHAnsi" w:eastAsiaTheme="minorHAnsi" w:hAnsiTheme="minorHAnsi" w:cstheme="minorBid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414816292">
    <w:abstractNumId w:val="0"/>
  </w:num>
  <w:num w:numId="2" w16cid:durableId="152235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9C"/>
    <w:rsid w:val="00004CF2"/>
    <w:rsid w:val="0001201A"/>
    <w:rsid w:val="00015F93"/>
    <w:rsid w:val="00061FC7"/>
    <w:rsid w:val="00063DE9"/>
    <w:rsid w:val="00075921"/>
    <w:rsid w:val="00082794"/>
    <w:rsid w:val="000B33A5"/>
    <w:rsid w:val="000C64EB"/>
    <w:rsid w:val="000F217A"/>
    <w:rsid w:val="000F2EED"/>
    <w:rsid w:val="00112292"/>
    <w:rsid w:val="00144F33"/>
    <w:rsid w:val="00164E2B"/>
    <w:rsid w:val="00165440"/>
    <w:rsid w:val="001D3ACC"/>
    <w:rsid w:val="00252E03"/>
    <w:rsid w:val="00274C73"/>
    <w:rsid w:val="002B162C"/>
    <w:rsid w:val="002D3149"/>
    <w:rsid w:val="00325E80"/>
    <w:rsid w:val="00342B7F"/>
    <w:rsid w:val="00346B84"/>
    <w:rsid w:val="00355D03"/>
    <w:rsid w:val="003917A8"/>
    <w:rsid w:val="003949E9"/>
    <w:rsid w:val="003C0A6A"/>
    <w:rsid w:val="003D01DD"/>
    <w:rsid w:val="003E254F"/>
    <w:rsid w:val="00437B47"/>
    <w:rsid w:val="00460E40"/>
    <w:rsid w:val="004850E8"/>
    <w:rsid w:val="004B00A0"/>
    <w:rsid w:val="004D6B42"/>
    <w:rsid w:val="004E413D"/>
    <w:rsid w:val="004E41A5"/>
    <w:rsid w:val="00507029"/>
    <w:rsid w:val="00515830"/>
    <w:rsid w:val="00551D3F"/>
    <w:rsid w:val="0058146C"/>
    <w:rsid w:val="005B5354"/>
    <w:rsid w:val="00600208"/>
    <w:rsid w:val="00611F9B"/>
    <w:rsid w:val="006238B3"/>
    <w:rsid w:val="00651CFB"/>
    <w:rsid w:val="006803A5"/>
    <w:rsid w:val="006B7393"/>
    <w:rsid w:val="006C53F2"/>
    <w:rsid w:val="006D799A"/>
    <w:rsid w:val="0070047E"/>
    <w:rsid w:val="007156B4"/>
    <w:rsid w:val="00767DCA"/>
    <w:rsid w:val="00782728"/>
    <w:rsid w:val="007E0F10"/>
    <w:rsid w:val="00875B56"/>
    <w:rsid w:val="00884668"/>
    <w:rsid w:val="008867DF"/>
    <w:rsid w:val="008904BA"/>
    <w:rsid w:val="008B453C"/>
    <w:rsid w:val="008E0E07"/>
    <w:rsid w:val="009230CC"/>
    <w:rsid w:val="009572FB"/>
    <w:rsid w:val="009623BC"/>
    <w:rsid w:val="009709A1"/>
    <w:rsid w:val="009C734A"/>
    <w:rsid w:val="009D45A6"/>
    <w:rsid w:val="00A113A6"/>
    <w:rsid w:val="00A1161F"/>
    <w:rsid w:val="00A13DC2"/>
    <w:rsid w:val="00A146B4"/>
    <w:rsid w:val="00A41B49"/>
    <w:rsid w:val="00A74463"/>
    <w:rsid w:val="00AA0379"/>
    <w:rsid w:val="00AC4A81"/>
    <w:rsid w:val="00B01D7B"/>
    <w:rsid w:val="00B50A86"/>
    <w:rsid w:val="00B77A94"/>
    <w:rsid w:val="00BB3113"/>
    <w:rsid w:val="00BB3A5E"/>
    <w:rsid w:val="00BC10DF"/>
    <w:rsid w:val="00BC17DA"/>
    <w:rsid w:val="00BF1FA0"/>
    <w:rsid w:val="00C0469C"/>
    <w:rsid w:val="00C23675"/>
    <w:rsid w:val="00C4271E"/>
    <w:rsid w:val="00C67868"/>
    <w:rsid w:val="00C966CC"/>
    <w:rsid w:val="00CA5C27"/>
    <w:rsid w:val="00CA6EBA"/>
    <w:rsid w:val="00CC5604"/>
    <w:rsid w:val="00CD1884"/>
    <w:rsid w:val="00CF1DF8"/>
    <w:rsid w:val="00D14C63"/>
    <w:rsid w:val="00D17383"/>
    <w:rsid w:val="00D32A96"/>
    <w:rsid w:val="00D56510"/>
    <w:rsid w:val="00D5720D"/>
    <w:rsid w:val="00DA129A"/>
    <w:rsid w:val="00DA51D0"/>
    <w:rsid w:val="00DA7CFA"/>
    <w:rsid w:val="00E40845"/>
    <w:rsid w:val="00E917E8"/>
    <w:rsid w:val="00ED4927"/>
    <w:rsid w:val="00EF18EF"/>
    <w:rsid w:val="00F1509F"/>
    <w:rsid w:val="00F21F34"/>
    <w:rsid w:val="00F2759A"/>
    <w:rsid w:val="00F35EF2"/>
    <w:rsid w:val="00F436FB"/>
    <w:rsid w:val="00F60519"/>
    <w:rsid w:val="00F83B5B"/>
    <w:rsid w:val="00FA3420"/>
    <w:rsid w:val="00FB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9377"/>
  <w15:chartTrackingRefBased/>
  <w15:docId w15:val="{52D53964-CD55-4F34-8F7C-47C2738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69C"/>
    <w:pPr>
      <w:ind w:left="720"/>
      <w:contextualSpacing/>
    </w:pPr>
  </w:style>
  <w:style w:type="character" w:styleId="AklamaBavurusu">
    <w:name w:val="annotation reference"/>
    <w:basedOn w:val="VarsaylanParagrafYazTipi"/>
    <w:uiPriority w:val="99"/>
    <w:semiHidden/>
    <w:unhideWhenUsed/>
    <w:rsid w:val="00C0469C"/>
    <w:rPr>
      <w:sz w:val="16"/>
      <w:szCs w:val="16"/>
    </w:rPr>
  </w:style>
  <w:style w:type="paragraph" w:styleId="AklamaMetni">
    <w:name w:val="annotation text"/>
    <w:basedOn w:val="Normal"/>
    <w:link w:val="AklamaMetniChar"/>
    <w:uiPriority w:val="99"/>
    <w:unhideWhenUsed/>
    <w:rsid w:val="00C0469C"/>
    <w:pPr>
      <w:spacing w:line="240" w:lineRule="auto"/>
    </w:pPr>
    <w:rPr>
      <w:sz w:val="20"/>
      <w:szCs w:val="20"/>
    </w:rPr>
  </w:style>
  <w:style w:type="character" w:customStyle="1" w:styleId="AklamaMetniChar">
    <w:name w:val="Açıklama Metni Char"/>
    <w:basedOn w:val="VarsaylanParagrafYazTipi"/>
    <w:link w:val="AklamaMetni"/>
    <w:uiPriority w:val="99"/>
    <w:rsid w:val="00C0469C"/>
    <w:rPr>
      <w:sz w:val="20"/>
      <w:szCs w:val="20"/>
    </w:rPr>
  </w:style>
  <w:style w:type="table" w:styleId="TabloKlavuzu">
    <w:name w:val="Table Grid"/>
    <w:basedOn w:val="NormalTablo"/>
    <w:uiPriority w:val="39"/>
    <w:rsid w:val="00C0469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46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469C"/>
  </w:style>
  <w:style w:type="paragraph" w:styleId="AltBilgi">
    <w:name w:val="footer"/>
    <w:basedOn w:val="Normal"/>
    <w:link w:val="AltBilgiChar"/>
    <w:uiPriority w:val="99"/>
    <w:unhideWhenUsed/>
    <w:rsid w:val="00C046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469C"/>
  </w:style>
  <w:style w:type="paragraph" w:styleId="BalonMetni">
    <w:name w:val="Balloon Text"/>
    <w:basedOn w:val="Normal"/>
    <w:link w:val="BalonMetniChar"/>
    <w:uiPriority w:val="99"/>
    <w:semiHidden/>
    <w:unhideWhenUsed/>
    <w:rsid w:val="00C046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469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11F9B"/>
    <w:rPr>
      <w:b/>
      <w:bCs/>
    </w:rPr>
  </w:style>
  <w:style w:type="character" w:customStyle="1" w:styleId="AklamaKonusuChar">
    <w:name w:val="Açıklama Konusu Char"/>
    <w:basedOn w:val="AklamaMetniChar"/>
    <w:link w:val="AklamaKonusu"/>
    <w:uiPriority w:val="99"/>
    <w:semiHidden/>
    <w:rsid w:val="00611F9B"/>
    <w:rPr>
      <w:b/>
      <w:bCs/>
      <w:sz w:val="20"/>
      <w:szCs w:val="20"/>
    </w:rPr>
  </w:style>
  <w:style w:type="paragraph" w:customStyle="1" w:styleId="stbilgi0">
    <w:name w:val="Üstbilgi"/>
    <w:basedOn w:val="Normal"/>
    <w:link w:val="stbilgiChar0"/>
    <w:rsid w:val="004E413D"/>
    <w:pPr>
      <w:tabs>
        <w:tab w:val="center" w:pos="4536"/>
        <w:tab w:val="right" w:pos="9072"/>
      </w:tabs>
      <w:autoSpaceDE w:val="0"/>
      <w:autoSpaceDN w:val="0"/>
      <w:spacing w:before="120" w:after="0" w:line="240" w:lineRule="auto"/>
    </w:pPr>
    <w:rPr>
      <w:rFonts w:ascii="Arial" w:eastAsia="Times New Roman" w:hAnsi="Arial" w:cs="Times New Roman"/>
      <w:sz w:val="20"/>
      <w:szCs w:val="20"/>
      <w:lang w:eastAsia="tr-TR"/>
    </w:rPr>
  </w:style>
  <w:style w:type="character" w:customStyle="1" w:styleId="stbilgiChar0">
    <w:name w:val="Üstbilgi Char"/>
    <w:basedOn w:val="VarsaylanParagrafYazTipi"/>
    <w:link w:val="stbilgi0"/>
    <w:rsid w:val="004E413D"/>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926</Words>
  <Characters>5283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Ayşegül Sevinç</dc:creator>
  <cp:keywords/>
  <dc:description/>
  <cp:lastModifiedBy>Norbo Savunma</cp:lastModifiedBy>
  <cp:revision>29</cp:revision>
  <dcterms:created xsi:type="dcterms:W3CDTF">2023-10-31T12:50:00Z</dcterms:created>
  <dcterms:modified xsi:type="dcterms:W3CDTF">2024-07-29T13:38:00Z</dcterms:modified>
</cp:coreProperties>
</file>